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B6D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 xml:space="preserve">关于针织行业培养在职硕士的通知 </w:t>
      </w:r>
    </w:p>
    <w:p w14:paraId="66B1A371">
      <w:pPr>
        <w:rPr>
          <w:rFonts w:hint="eastAsia" w:ascii="仿宋" w:hAnsi="仿宋" w:eastAsia="仿宋"/>
          <w:spacing w:val="-1"/>
          <w:sz w:val="32"/>
          <w:szCs w:val="32"/>
        </w:rPr>
      </w:pPr>
      <w:r>
        <w:rPr>
          <w:rFonts w:hint="eastAsia" w:ascii="仿宋" w:hAnsi="仿宋" w:eastAsia="仿宋"/>
          <w:spacing w:val="-1"/>
          <w:sz w:val="32"/>
          <w:szCs w:val="32"/>
        </w:rPr>
        <w:t>各会员单位:</w:t>
      </w:r>
    </w:p>
    <w:p w14:paraId="52A16561">
      <w:pPr>
        <w:ind w:firstLine="636" w:firstLineChars="200"/>
        <w:rPr>
          <w:rFonts w:hint="eastAsia" w:ascii="仿宋" w:hAnsi="仿宋" w:eastAsia="仿宋"/>
          <w:spacing w:val="-1"/>
          <w:sz w:val="32"/>
          <w:szCs w:val="32"/>
          <w:lang w:val="en-US" w:eastAsia="zh-CN"/>
        </w:rPr>
      </w:pPr>
      <w:r>
        <w:rPr>
          <w:rFonts w:hint="eastAsia" w:ascii="仿宋" w:hAnsi="仿宋" w:eastAsia="仿宋"/>
          <w:spacing w:val="-1"/>
          <w:sz w:val="32"/>
          <w:szCs w:val="32"/>
        </w:rPr>
        <w:t>为贯彻落实国家关于创新驱动发展战略和人才强国战略，满足针织行业对高层次专业人才的需求，推动行业持续创新与升级，加快建设针织现代化产业体系，中国针织工业协会与东华大学携手开展在职硕士（同等学力申硕）培养项目。该项目旨在为针织行业培养高层次专业人才，加强行业人才队伍建设，提升科技创新能力，实现行业高质量发展。</w:t>
      </w:r>
      <w:r>
        <w:rPr>
          <w:rFonts w:hint="eastAsia" w:ascii="仿宋" w:hAnsi="仿宋" w:eastAsia="仿宋"/>
          <w:spacing w:val="-1"/>
          <w:sz w:val="32"/>
          <w:szCs w:val="32"/>
          <w:lang w:val="en-US" w:eastAsia="zh-CN"/>
        </w:rPr>
        <w:t>现将有关事项通知如下。</w:t>
      </w:r>
    </w:p>
    <w:p w14:paraId="2063D463">
      <w:pPr>
        <w:numPr>
          <w:ilvl w:val="0"/>
          <w:numId w:val="1"/>
        </w:numPr>
        <w:ind w:firstLine="636" w:firstLineChars="200"/>
        <w:rPr>
          <w:rFonts w:hint="default" w:ascii="仿宋" w:hAnsi="仿宋" w:eastAsia="仿宋"/>
          <w:spacing w:val="-1"/>
          <w:sz w:val="32"/>
          <w:szCs w:val="32"/>
          <w:lang w:val="en-US" w:eastAsia="zh-CN"/>
        </w:rPr>
      </w:pPr>
      <w:r>
        <w:rPr>
          <w:rFonts w:hint="eastAsia" w:ascii="仿宋" w:hAnsi="仿宋" w:eastAsia="仿宋"/>
          <w:spacing w:val="-1"/>
          <w:sz w:val="32"/>
          <w:szCs w:val="32"/>
          <w:lang w:val="en-US" w:eastAsia="zh-CN"/>
        </w:rPr>
        <w:t>组织单位</w:t>
      </w:r>
    </w:p>
    <w:p w14:paraId="0A0204BB">
      <w:pPr>
        <w:numPr>
          <w:ilvl w:val="0"/>
          <w:numId w:val="0"/>
        </w:numPr>
        <w:rPr>
          <w:rFonts w:hint="eastAsia" w:ascii="仿宋" w:hAnsi="仿宋" w:eastAsia="仿宋"/>
          <w:spacing w:val="-1"/>
          <w:sz w:val="32"/>
          <w:szCs w:val="32"/>
          <w:lang w:val="en-US" w:eastAsia="zh-CN"/>
        </w:rPr>
      </w:pPr>
      <w:r>
        <w:rPr>
          <w:rFonts w:hint="eastAsia" w:ascii="仿宋" w:hAnsi="仿宋" w:eastAsia="仿宋"/>
          <w:spacing w:val="-1"/>
          <w:sz w:val="32"/>
          <w:szCs w:val="32"/>
          <w:lang w:val="en-US" w:eastAsia="zh-CN"/>
        </w:rPr>
        <w:t xml:space="preserve">    中国针织工业协会</w:t>
      </w:r>
    </w:p>
    <w:p w14:paraId="015394E5">
      <w:pPr>
        <w:numPr>
          <w:ilvl w:val="0"/>
          <w:numId w:val="0"/>
        </w:numPr>
        <w:ind w:firstLine="636" w:firstLineChars="200"/>
        <w:rPr>
          <w:rFonts w:hint="default" w:ascii="仿宋" w:hAnsi="仿宋" w:eastAsia="仿宋"/>
          <w:spacing w:val="-1"/>
          <w:sz w:val="32"/>
          <w:szCs w:val="32"/>
          <w:lang w:val="en-US" w:eastAsia="zh-CN"/>
        </w:rPr>
      </w:pPr>
      <w:r>
        <w:rPr>
          <w:rFonts w:hint="eastAsia" w:ascii="仿宋" w:hAnsi="仿宋" w:eastAsia="仿宋"/>
          <w:spacing w:val="-1"/>
          <w:sz w:val="32"/>
          <w:szCs w:val="32"/>
          <w:lang w:val="en-US" w:eastAsia="zh-CN"/>
        </w:rPr>
        <w:t>东华大学</w:t>
      </w:r>
    </w:p>
    <w:p w14:paraId="3412CC96">
      <w:pPr>
        <w:numPr>
          <w:ilvl w:val="0"/>
          <w:numId w:val="1"/>
        </w:numPr>
        <w:ind w:firstLine="636" w:firstLineChars="200"/>
        <w:rPr>
          <w:rFonts w:hint="default" w:ascii="仿宋" w:hAnsi="仿宋" w:eastAsia="仿宋"/>
          <w:spacing w:val="-1"/>
          <w:sz w:val="32"/>
          <w:szCs w:val="32"/>
          <w:lang w:val="en-US" w:eastAsia="zh-CN"/>
        </w:rPr>
      </w:pPr>
      <w:r>
        <w:rPr>
          <w:rFonts w:hint="eastAsia" w:ascii="仿宋" w:hAnsi="仿宋" w:eastAsia="仿宋"/>
          <w:spacing w:val="-1"/>
          <w:sz w:val="32"/>
          <w:szCs w:val="32"/>
          <w:lang w:val="en-US" w:eastAsia="zh-CN"/>
        </w:rPr>
        <w:t>培养目标</w:t>
      </w:r>
    </w:p>
    <w:p w14:paraId="44CFAB49">
      <w:pPr>
        <w:ind w:firstLine="636" w:firstLineChars="200"/>
        <w:rPr>
          <w:rFonts w:hint="eastAsia" w:ascii="仿宋" w:hAnsi="仿宋" w:eastAsia="仿宋"/>
          <w:spacing w:val="-1"/>
          <w:sz w:val="32"/>
          <w:szCs w:val="32"/>
        </w:rPr>
      </w:pPr>
      <w:r>
        <w:rPr>
          <w:rFonts w:hint="eastAsia" w:ascii="仿宋" w:hAnsi="仿宋" w:eastAsia="仿宋"/>
          <w:spacing w:val="-1"/>
          <w:sz w:val="32"/>
          <w:szCs w:val="32"/>
        </w:rPr>
        <w:t>项目旨在为针织行业培养具备坚实的基础理论和系统的专业知识，以及具有较强解决实际问题能力的高层次创新人才。通过深入学习纺织领域的前沿理论与技术，使学员能够在行业中发挥引领作用，推动针织行业的创新发展与技术进步。</w:t>
      </w:r>
    </w:p>
    <w:p w14:paraId="3B282311">
      <w:pPr>
        <w:numPr>
          <w:ilvl w:val="0"/>
          <w:numId w:val="1"/>
        </w:numPr>
        <w:ind w:firstLine="636" w:firstLineChars="200"/>
        <w:rPr>
          <w:rFonts w:hint="default" w:ascii="仿宋" w:hAnsi="仿宋" w:eastAsia="仿宋"/>
          <w:spacing w:val="-1"/>
          <w:sz w:val="32"/>
          <w:szCs w:val="32"/>
          <w:lang w:val="en-US" w:eastAsia="zh-CN"/>
        </w:rPr>
      </w:pPr>
      <w:r>
        <w:rPr>
          <w:rFonts w:hint="default" w:ascii="仿宋" w:hAnsi="仿宋" w:eastAsia="仿宋"/>
          <w:spacing w:val="-1"/>
          <w:sz w:val="32"/>
          <w:szCs w:val="32"/>
          <w:lang w:val="en-US" w:eastAsia="zh-CN"/>
        </w:rPr>
        <w:t>招生对象与条件</w:t>
      </w:r>
    </w:p>
    <w:p w14:paraId="075B7DBA">
      <w:pPr>
        <w:numPr>
          <w:ilvl w:val="0"/>
          <w:numId w:val="0"/>
        </w:numPr>
        <w:ind w:firstLine="636" w:firstLineChars="200"/>
        <w:rPr>
          <w:rFonts w:hint="default" w:ascii="仿宋" w:hAnsi="仿宋" w:eastAsia="仿宋"/>
          <w:spacing w:val="-1"/>
          <w:sz w:val="32"/>
          <w:szCs w:val="32"/>
          <w:lang w:val="en-US" w:eastAsia="zh-CN"/>
        </w:rPr>
      </w:pPr>
      <w:r>
        <w:rPr>
          <w:rFonts w:hint="default" w:ascii="仿宋" w:hAnsi="仿宋" w:eastAsia="仿宋"/>
          <w:spacing w:val="-1"/>
          <w:sz w:val="32"/>
          <w:szCs w:val="32"/>
          <w:lang w:val="en-US" w:eastAsia="zh-CN"/>
        </w:rPr>
        <w:t>招生对象：中国针织工业协会会员单位在职人员，以及有志于针织行业发展的相关行业人员。</w:t>
      </w:r>
    </w:p>
    <w:p w14:paraId="7D9A9DAD">
      <w:pPr>
        <w:numPr>
          <w:ilvl w:val="0"/>
          <w:numId w:val="0"/>
        </w:numPr>
        <w:ind w:firstLine="636" w:firstLineChars="200"/>
        <w:rPr>
          <w:rFonts w:hint="default" w:ascii="仿宋" w:hAnsi="仿宋" w:eastAsia="仿宋"/>
          <w:spacing w:val="-1"/>
          <w:sz w:val="32"/>
          <w:szCs w:val="32"/>
          <w:lang w:val="en-US" w:eastAsia="zh-CN"/>
        </w:rPr>
      </w:pPr>
      <w:r>
        <w:rPr>
          <w:rFonts w:hint="default" w:ascii="仿宋" w:hAnsi="仿宋" w:eastAsia="仿宋"/>
          <w:spacing w:val="-1"/>
          <w:sz w:val="32"/>
          <w:szCs w:val="32"/>
          <w:lang w:val="en-US" w:eastAsia="zh-CN"/>
        </w:rPr>
        <w:t>招生条件：如需申请教育部认定的硕士学位，须具有本科学历，并获得学士学位满三年。若无需申请硕士学位，仅</w:t>
      </w:r>
      <w:r>
        <w:rPr>
          <w:rFonts w:hint="eastAsia" w:ascii="仿宋" w:hAnsi="仿宋" w:eastAsia="仿宋"/>
          <w:spacing w:val="-1"/>
          <w:sz w:val="32"/>
          <w:szCs w:val="32"/>
          <w:lang w:val="en-US" w:eastAsia="zh-CN"/>
        </w:rPr>
        <w:t>参加</w:t>
      </w:r>
      <w:r>
        <w:rPr>
          <w:rFonts w:hint="default" w:ascii="仿宋" w:hAnsi="仿宋" w:eastAsia="仿宋"/>
          <w:spacing w:val="-1"/>
          <w:sz w:val="32"/>
          <w:szCs w:val="32"/>
          <w:lang w:val="en-US" w:eastAsia="zh-CN"/>
        </w:rPr>
        <w:t>专业课程班</w:t>
      </w:r>
      <w:r>
        <w:rPr>
          <w:rFonts w:hint="eastAsia" w:ascii="仿宋" w:hAnsi="仿宋" w:eastAsia="仿宋"/>
          <w:spacing w:val="-1"/>
          <w:sz w:val="32"/>
          <w:szCs w:val="32"/>
          <w:lang w:val="en-US" w:eastAsia="zh-CN"/>
        </w:rPr>
        <w:t>学习，</w:t>
      </w:r>
      <w:r>
        <w:rPr>
          <w:rFonts w:hint="default" w:ascii="仿宋" w:hAnsi="仿宋" w:eastAsia="仿宋"/>
          <w:spacing w:val="-1"/>
          <w:sz w:val="32"/>
          <w:szCs w:val="32"/>
          <w:lang w:val="en-US" w:eastAsia="zh-CN"/>
        </w:rPr>
        <w:t>无前期学历要求。</w:t>
      </w:r>
    </w:p>
    <w:p w14:paraId="2FEB0201">
      <w:pPr>
        <w:numPr>
          <w:ilvl w:val="0"/>
          <w:numId w:val="0"/>
        </w:numPr>
        <w:ind w:firstLine="636" w:firstLineChars="200"/>
        <w:rPr>
          <w:rFonts w:hint="default" w:ascii="仿宋" w:hAnsi="仿宋" w:eastAsia="仿宋"/>
          <w:spacing w:val="-1"/>
          <w:sz w:val="32"/>
          <w:szCs w:val="32"/>
          <w:lang w:val="en-US" w:eastAsia="zh-CN"/>
        </w:rPr>
      </w:pPr>
      <w:r>
        <w:rPr>
          <w:rFonts w:hint="eastAsia" w:ascii="仿宋" w:hAnsi="仿宋" w:eastAsia="仿宋"/>
          <w:spacing w:val="-1"/>
          <w:sz w:val="32"/>
          <w:szCs w:val="32"/>
          <w:lang w:val="en-US" w:eastAsia="zh-CN"/>
        </w:rPr>
        <w:t>学位申请与课程设置等信息见附件1“培养方案”。</w:t>
      </w:r>
    </w:p>
    <w:p w14:paraId="2C1B610B">
      <w:pPr>
        <w:numPr>
          <w:ilvl w:val="0"/>
          <w:numId w:val="0"/>
        </w:numPr>
        <w:ind w:firstLine="636" w:firstLineChars="200"/>
        <w:rPr>
          <w:rFonts w:hint="eastAsia" w:ascii="仿宋" w:hAnsi="仿宋" w:eastAsia="仿宋"/>
          <w:spacing w:val="-1"/>
          <w:sz w:val="32"/>
          <w:szCs w:val="32"/>
          <w:lang w:val="en-US" w:eastAsia="zh-CN"/>
        </w:rPr>
      </w:pPr>
      <w:r>
        <w:rPr>
          <w:rFonts w:hint="eastAsia" w:ascii="仿宋" w:hAnsi="仿宋" w:eastAsia="仿宋"/>
          <w:spacing w:val="-1"/>
          <w:sz w:val="32"/>
          <w:szCs w:val="32"/>
          <w:lang w:val="en-US" w:eastAsia="zh-CN"/>
        </w:rPr>
        <w:t>四、报名时间：</w:t>
      </w:r>
    </w:p>
    <w:p w14:paraId="6AE08D59">
      <w:pPr>
        <w:numPr>
          <w:ilvl w:val="0"/>
          <w:numId w:val="0"/>
        </w:numPr>
        <w:ind w:firstLine="636" w:firstLineChars="200"/>
        <w:rPr>
          <w:rFonts w:hint="eastAsia" w:ascii="仿宋" w:hAnsi="仿宋" w:eastAsia="仿宋"/>
          <w:spacing w:val="-1"/>
          <w:sz w:val="32"/>
          <w:szCs w:val="32"/>
          <w:lang w:val="en-US" w:eastAsia="zh-CN"/>
        </w:rPr>
      </w:pPr>
      <w:r>
        <w:rPr>
          <w:rFonts w:hint="eastAsia" w:ascii="仿宋" w:hAnsi="仿宋" w:eastAsia="仿宋"/>
          <w:spacing w:val="-1"/>
          <w:sz w:val="32"/>
          <w:szCs w:val="32"/>
          <w:lang w:val="en-US" w:eastAsia="zh-CN"/>
        </w:rPr>
        <w:t>报名截止时间：2026年9月12日。</w:t>
      </w:r>
    </w:p>
    <w:p w14:paraId="5A2E0BDD">
      <w:pPr>
        <w:numPr>
          <w:ilvl w:val="0"/>
          <w:numId w:val="0"/>
        </w:numPr>
        <w:ind w:firstLine="636" w:firstLineChars="200"/>
        <w:rPr>
          <w:rFonts w:hint="eastAsia" w:ascii="仿宋" w:hAnsi="仿宋" w:eastAsia="仿宋"/>
          <w:spacing w:val="-1"/>
          <w:sz w:val="32"/>
          <w:szCs w:val="32"/>
          <w:lang w:val="en-US" w:eastAsia="zh-CN"/>
        </w:rPr>
      </w:pPr>
      <w:r>
        <w:rPr>
          <w:rFonts w:hint="eastAsia" w:ascii="仿宋" w:hAnsi="仿宋" w:eastAsia="仿宋"/>
          <w:spacing w:val="-1"/>
          <w:sz w:val="32"/>
          <w:szCs w:val="32"/>
          <w:lang w:val="en-US" w:eastAsia="zh-CN"/>
        </w:rPr>
        <w:t>开学时间：2026年9月下旬，具体时间另行安排。</w:t>
      </w:r>
    </w:p>
    <w:p w14:paraId="29F992CE">
      <w:pPr>
        <w:numPr>
          <w:ilvl w:val="0"/>
          <w:numId w:val="0"/>
        </w:numPr>
        <w:ind w:firstLine="636" w:firstLineChars="200"/>
        <w:rPr>
          <w:rFonts w:hint="eastAsia" w:ascii="仿宋" w:hAnsi="仿宋" w:eastAsia="仿宋"/>
          <w:spacing w:val="-1"/>
          <w:sz w:val="32"/>
          <w:szCs w:val="32"/>
          <w:lang w:val="en-US" w:eastAsia="zh-CN"/>
        </w:rPr>
      </w:pPr>
      <w:r>
        <w:rPr>
          <w:rFonts w:hint="eastAsia" w:ascii="仿宋" w:hAnsi="仿宋" w:eastAsia="仿宋"/>
          <w:spacing w:val="-1"/>
          <w:sz w:val="32"/>
          <w:szCs w:val="32"/>
          <w:lang w:val="en-US" w:eastAsia="zh-CN"/>
        </w:rPr>
        <w:t>五、联系方式</w:t>
      </w:r>
    </w:p>
    <w:p w14:paraId="620CA90A">
      <w:pPr>
        <w:numPr>
          <w:ilvl w:val="0"/>
          <w:numId w:val="0"/>
        </w:numPr>
        <w:ind w:firstLine="636" w:firstLineChars="200"/>
        <w:rPr>
          <w:rFonts w:hint="eastAsia" w:ascii="仿宋" w:hAnsi="仿宋" w:eastAsia="仿宋"/>
          <w:spacing w:val="-1"/>
          <w:sz w:val="32"/>
          <w:szCs w:val="32"/>
          <w:lang w:val="en-US" w:eastAsia="zh-CN"/>
        </w:rPr>
      </w:pPr>
      <w:r>
        <w:rPr>
          <w:rFonts w:hint="eastAsia" w:ascii="仿宋" w:hAnsi="仿宋" w:eastAsia="仿宋"/>
          <w:spacing w:val="-1"/>
          <w:sz w:val="32"/>
          <w:szCs w:val="32"/>
          <w:lang w:val="en-US" w:eastAsia="zh-CN"/>
        </w:rPr>
        <w:t>中国针织工业协会  涂然  18612268010</w:t>
      </w:r>
    </w:p>
    <w:p w14:paraId="55CF3222">
      <w:pPr>
        <w:numPr>
          <w:ilvl w:val="0"/>
          <w:numId w:val="0"/>
        </w:numPr>
        <w:ind w:firstLine="636" w:firstLineChars="200"/>
        <w:rPr>
          <w:rFonts w:hint="eastAsia" w:ascii="仿宋" w:hAnsi="仿宋" w:eastAsia="仿宋"/>
          <w:spacing w:val="-1"/>
          <w:sz w:val="32"/>
          <w:szCs w:val="32"/>
          <w:lang w:val="en-US" w:eastAsia="zh-CN"/>
        </w:rPr>
      </w:pPr>
      <w:r>
        <w:rPr>
          <w:rFonts w:hint="eastAsia" w:ascii="仿宋" w:hAnsi="仿宋" w:eastAsia="仿宋"/>
          <w:spacing w:val="-1"/>
          <w:sz w:val="32"/>
          <w:szCs w:val="32"/>
          <w:lang w:val="en-US" w:eastAsia="zh-CN"/>
        </w:rPr>
        <w:t>东华大学          李琳  13564038801</w:t>
      </w:r>
    </w:p>
    <w:p w14:paraId="171EB581">
      <w:pPr>
        <w:rPr>
          <w:rFonts w:hint="eastAsia" w:ascii="仿宋" w:hAnsi="仿宋" w:eastAsia="仿宋"/>
          <w:spacing w:val="-1"/>
          <w:sz w:val="32"/>
          <w:szCs w:val="32"/>
        </w:rPr>
      </w:pPr>
    </w:p>
    <w:p w14:paraId="61C75C27">
      <w:pPr>
        <w:rPr>
          <w:rFonts w:hint="eastAsia" w:ascii="仿宋" w:hAnsi="仿宋" w:eastAsia="仿宋"/>
          <w:spacing w:val="-1"/>
          <w:sz w:val="32"/>
          <w:szCs w:val="32"/>
        </w:rPr>
      </w:pPr>
    </w:p>
    <w:p w14:paraId="38E32231">
      <w:pPr>
        <w:ind w:firstLine="636" w:firstLineChars="200"/>
        <w:rPr>
          <w:rFonts w:hint="default" w:ascii="仿宋" w:hAnsi="仿宋" w:eastAsia="仿宋"/>
          <w:spacing w:val="-1"/>
          <w:sz w:val="32"/>
          <w:szCs w:val="32"/>
          <w:lang w:val="en-US" w:eastAsia="zh-CN"/>
        </w:rPr>
      </w:pPr>
      <w:r>
        <w:rPr>
          <w:rFonts w:hint="eastAsia" w:ascii="仿宋" w:hAnsi="仿宋" w:eastAsia="仿宋"/>
          <w:spacing w:val="-1"/>
          <w:sz w:val="32"/>
          <w:szCs w:val="32"/>
        </w:rPr>
        <w:t>附件:</w:t>
      </w:r>
      <w:r>
        <w:rPr>
          <w:rFonts w:hint="eastAsia" w:ascii="仿宋" w:hAnsi="仿宋" w:eastAsia="仿宋"/>
          <w:spacing w:val="-1"/>
          <w:sz w:val="32"/>
          <w:szCs w:val="32"/>
          <w:lang w:val="en-US" w:eastAsia="zh-CN"/>
        </w:rPr>
        <w:t xml:space="preserve"> </w:t>
      </w:r>
      <w:r>
        <w:rPr>
          <w:rFonts w:hint="eastAsia" w:ascii="仿宋" w:hAnsi="仿宋" w:eastAsia="仿宋"/>
          <w:spacing w:val="-1"/>
          <w:sz w:val="32"/>
          <w:szCs w:val="32"/>
        </w:rPr>
        <w:t>1.</w:t>
      </w:r>
      <w:r>
        <w:rPr>
          <w:rFonts w:hint="eastAsia" w:ascii="仿宋" w:hAnsi="仿宋" w:eastAsia="仿宋"/>
          <w:spacing w:val="-1"/>
          <w:sz w:val="32"/>
          <w:szCs w:val="32"/>
          <w:lang w:val="en-US" w:eastAsia="zh-CN"/>
        </w:rPr>
        <w:t>在职硕士（同等学历申硕）培养方案</w:t>
      </w:r>
    </w:p>
    <w:p w14:paraId="4BA79C26">
      <w:pPr>
        <w:ind w:firstLine="1590" w:firstLineChars="500"/>
        <w:rPr>
          <w:rFonts w:hint="eastAsia" w:ascii="仿宋" w:hAnsi="仿宋" w:eastAsia="仿宋"/>
          <w:spacing w:val="-1"/>
          <w:sz w:val="32"/>
          <w:szCs w:val="32"/>
        </w:rPr>
      </w:pPr>
      <w:r>
        <w:rPr>
          <w:rFonts w:hint="eastAsia" w:ascii="仿宋" w:hAnsi="仿宋" w:eastAsia="仿宋"/>
          <w:spacing w:val="-1"/>
          <w:sz w:val="32"/>
          <w:szCs w:val="32"/>
        </w:rPr>
        <w:t>2.报名表</w:t>
      </w:r>
    </w:p>
    <w:p w14:paraId="34637CF2">
      <w:pPr>
        <w:rPr>
          <w:rFonts w:hint="eastAsia" w:ascii="仿宋" w:hAnsi="仿宋" w:eastAsia="仿宋"/>
          <w:spacing w:val="-1"/>
          <w:sz w:val="32"/>
          <w:szCs w:val="32"/>
        </w:rPr>
      </w:pPr>
    </w:p>
    <w:p w14:paraId="137E6B77">
      <w:pPr>
        <w:jc w:val="right"/>
        <w:rPr>
          <w:rFonts w:hint="eastAsia" w:ascii="仿宋" w:hAnsi="仿宋" w:eastAsia="仿宋"/>
          <w:spacing w:val="-1"/>
          <w:sz w:val="32"/>
          <w:szCs w:val="32"/>
          <w:lang w:val="en-US" w:eastAsia="zh-CN"/>
        </w:rPr>
      </w:pPr>
      <w:r>
        <w:rPr>
          <w:rFonts w:hint="eastAsia" w:ascii="仿宋" w:hAnsi="仿宋" w:eastAsia="仿宋"/>
          <w:spacing w:val="-1"/>
          <w:sz w:val="32"/>
          <w:szCs w:val="32"/>
          <w:lang w:val="en-US" w:eastAsia="zh-CN"/>
        </w:rPr>
        <w:t>中国针织工业协会</w:t>
      </w:r>
    </w:p>
    <w:p w14:paraId="0BDA8CC0">
      <w:pPr>
        <w:jc w:val="right"/>
        <w:rPr>
          <w:rFonts w:hint="eastAsia" w:ascii="仿宋" w:hAnsi="仿宋" w:eastAsia="仿宋"/>
          <w:spacing w:val="-1"/>
          <w:sz w:val="32"/>
          <w:szCs w:val="32"/>
        </w:rPr>
      </w:pPr>
      <w:r>
        <w:rPr>
          <w:rFonts w:hint="eastAsia" w:ascii="仿宋" w:hAnsi="仿宋" w:eastAsia="仿宋"/>
          <w:spacing w:val="-1"/>
          <w:sz w:val="32"/>
          <w:szCs w:val="32"/>
          <w:lang w:val="en-US" w:eastAsia="zh-CN"/>
        </w:rPr>
        <w:t>2026年6月</w:t>
      </w:r>
    </w:p>
    <w:p w14:paraId="0D27EE55">
      <w:pPr>
        <w:keepNext w:val="0"/>
        <w:keepLines w:val="0"/>
        <w:pageBreakBefore w:val="0"/>
        <w:kinsoku/>
        <w:wordWrap/>
        <w:overflowPunct/>
        <w:topLinePunct w:val="0"/>
        <w:autoSpaceDE/>
        <w:autoSpaceDN/>
        <w:bidi w:val="0"/>
        <w:adjustRightInd/>
        <w:snapToGrid/>
        <w:spacing w:before="78" w:beforeLines="25" w:line="560" w:lineRule="exact"/>
        <w:textAlignment w:val="auto"/>
        <w:rPr>
          <w:rFonts w:hint="eastAsia" w:ascii="仿宋" w:hAnsi="仿宋" w:eastAsia="仿宋" w:cs="仿宋"/>
          <w:b/>
          <w:sz w:val="28"/>
          <w:szCs w:val="28"/>
          <w:highlight w:val="none"/>
          <w:lang w:val="en-US" w:eastAsia="zh-CN"/>
        </w:rPr>
      </w:pPr>
    </w:p>
    <w:p w14:paraId="435DC6A6">
      <w:pPr>
        <w:keepNext w:val="0"/>
        <w:keepLines w:val="0"/>
        <w:pageBreakBefore w:val="0"/>
        <w:kinsoku/>
        <w:wordWrap/>
        <w:overflowPunct/>
        <w:topLinePunct w:val="0"/>
        <w:autoSpaceDE/>
        <w:autoSpaceDN/>
        <w:bidi w:val="0"/>
        <w:adjustRightInd/>
        <w:snapToGrid/>
        <w:spacing w:before="78" w:beforeLines="25" w:line="560" w:lineRule="exact"/>
        <w:textAlignment w:val="auto"/>
        <w:rPr>
          <w:rFonts w:hint="eastAsia" w:ascii="仿宋" w:hAnsi="仿宋" w:eastAsia="仿宋" w:cs="仿宋"/>
          <w:b/>
          <w:sz w:val="28"/>
          <w:szCs w:val="28"/>
          <w:highlight w:val="none"/>
          <w:lang w:val="en-US" w:eastAsia="zh-CN"/>
        </w:rPr>
      </w:pPr>
    </w:p>
    <w:p w14:paraId="673EB812">
      <w:pPr>
        <w:keepNext w:val="0"/>
        <w:keepLines w:val="0"/>
        <w:pageBreakBefore w:val="0"/>
        <w:kinsoku/>
        <w:wordWrap/>
        <w:overflowPunct/>
        <w:topLinePunct w:val="0"/>
        <w:autoSpaceDE/>
        <w:autoSpaceDN/>
        <w:bidi w:val="0"/>
        <w:adjustRightInd/>
        <w:snapToGrid/>
        <w:spacing w:before="78" w:beforeLines="25" w:line="560" w:lineRule="exact"/>
        <w:textAlignment w:val="auto"/>
        <w:rPr>
          <w:rFonts w:hint="eastAsia" w:ascii="仿宋" w:hAnsi="仿宋" w:eastAsia="仿宋" w:cs="仿宋"/>
          <w:b/>
          <w:sz w:val="28"/>
          <w:szCs w:val="28"/>
          <w:highlight w:val="none"/>
          <w:lang w:val="en-US" w:eastAsia="zh-CN"/>
        </w:rPr>
      </w:pPr>
    </w:p>
    <w:p w14:paraId="78FB05E6">
      <w:pPr>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br w:type="page"/>
      </w:r>
    </w:p>
    <w:p w14:paraId="770FD863">
      <w:pPr>
        <w:keepNext w:val="0"/>
        <w:keepLines w:val="0"/>
        <w:pageBreakBefore w:val="0"/>
        <w:kinsoku/>
        <w:wordWrap/>
        <w:overflowPunct/>
        <w:topLinePunct w:val="0"/>
        <w:autoSpaceDE/>
        <w:autoSpaceDN/>
        <w:bidi w:val="0"/>
        <w:adjustRightInd/>
        <w:snapToGrid/>
        <w:spacing w:before="78" w:beforeLines="25" w:line="560" w:lineRule="exact"/>
        <w:textAlignment w:val="auto"/>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t xml:space="preserve">附件1：                      </w:t>
      </w:r>
    </w:p>
    <w:p w14:paraId="717C6A56">
      <w:pPr>
        <w:ind w:firstLine="636" w:firstLineChars="200"/>
        <w:jc w:val="center"/>
        <w:rPr>
          <w:rFonts w:hint="default" w:ascii="仿宋" w:hAnsi="仿宋" w:eastAsia="仿宋"/>
          <w:spacing w:val="-1"/>
          <w:sz w:val="32"/>
          <w:szCs w:val="32"/>
          <w:lang w:val="en-US" w:eastAsia="zh-CN"/>
        </w:rPr>
      </w:pPr>
      <w:r>
        <w:rPr>
          <w:rFonts w:hint="eastAsia" w:ascii="仿宋" w:hAnsi="仿宋" w:eastAsia="仿宋"/>
          <w:spacing w:val="-1"/>
          <w:sz w:val="32"/>
          <w:szCs w:val="32"/>
          <w:lang w:val="en-US" w:eastAsia="zh-CN"/>
        </w:rPr>
        <w:t>在职硕士（同等学历申硕）培养方案</w:t>
      </w:r>
    </w:p>
    <w:p w14:paraId="5726C254">
      <w:pPr>
        <w:keepNext w:val="0"/>
        <w:keepLines w:val="0"/>
        <w:pageBreakBefore w:val="0"/>
        <w:kinsoku/>
        <w:wordWrap/>
        <w:overflowPunct/>
        <w:topLinePunct w:val="0"/>
        <w:autoSpaceDE/>
        <w:autoSpaceDN/>
        <w:bidi w:val="0"/>
        <w:adjustRightInd/>
        <w:snapToGrid/>
        <w:spacing w:before="78" w:beforeLines="25" w:line="400" w:lineRule="exact"/>
        <w:ind w:firstLine="562" w:firstLineChars="200"/>
        <w:textAlignment w:val="auto"/>
        <w:rPr>
          <w:rFonts w:hint="eastAsia" w:ascii="仿宋" w:hAnsi="仿宋" w:eastAsia="仿宋" w:cs="仿宋"/>
          <w:color w:val="2F2F2F"/>
          <w:sz w:val="28"/>
          <w:szCs w:val="28"/>
          <w:highlight w:val="none"/>
          <w:shd w:val="clear" w:color="auto" w:fill="FFFFFF"/>
        </w:rPr>
      </w:pPr>
      <w:r>
        <w:rPr>
          <w:rFonts w:hint="eastAsia" w:ascii="仿宋" w:hAnsi="仿宋" w:eastAsia="仿宋" w:cs="仿宋"/>
          <w:b/>
          <w:sz w:val="28"/>
          <w:szCs w:val="28"/>
          <w:highlight w:val="none"/>
        </w:rPr>
        <w:t>一、学校简介</w:t>
      </w:r>
    </w:p>
    <w:p w14:paraId="5F305473">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东华大学是教育部直属、国家“211 工程”、国家“双一流”建设高校。建校70多年来，已发展成为以纺织、材料和设计为特色的多科性大学。现设有18个学院（部），涵盖工学、理学、管理学、经济学、艺术学、文学等十大学科门类。现有2个国家“双一流”建设学科，1个上海高校Ι类高峰学科。拥有2个国家级实验教学示范中心、3个国家工程实践教育中心、1个国家级虚拟仿真实验教学中心、4个上海市级实验教学示范中心；1个全国重点实验室、1个国家工程技术研究中心、23个省部级重点科研平台、2个国家引智基地。首批进入教育部“卓越工程师教育培养计划”，获批建设国家卓越工程师学院，获评“全国工程硕士研究生教育创新院校”。</w:t>
      </w:r>
    </w:p>
    <w:p w14:paraId="63CEC731">
      <w:pPr>
        <w:keepNext w:val="0"/>
        <w:keepLines w:val="0"/>
        <w:pageBreakBefore w:val="0"/>
        <w:kinsoku/>
        <w:wordWrap/>
        <w:overflowPunct/>
        <w:topLinePunct w:val="0"/>
        <w:autoSpaceDE/>
        <w:autoSpaceDN/>
        <w:bidi w:val="0"/>
        <w:adjustRightInd/>
        <w:snapToGrid/>
        <w:spacing w:before="78" w:beforeLines="25" w:line="40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二</w:t>
      </w:r>
      <w:r>
        <w:rPr>
          <w:rFonts w:hint="eastAsia" w:ascii="仿宋" w:hAnsi="仿宋" w:eastAsia="仿宋" w:cs="仿宋"/>
          <w:b/>
          <w:sz w:val="28"/>
          <w:szCs w:val="28"/>
          <w:highlight w:val="none"/>
        </w:rPr>
        <w:t>、培养方式与学制</w:t>
      </w:r>
    </w:p>
    <w:p w14:paraId="47FF6629">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w:t>
      </w:r>
      <w:r>
        <w:rPr>
          <w:rFonts w:hint="eastAsia" w:ascii="仿宋" w:hAnsi="仿宋" w:eastAsia="仿宋" w:cs="仿宋"/>
          <w:sz w:val="28"/>
          <w:szCs w:val="28"/>
          <w:highlight w:val="none"/>
          <w:lang w:eastAsia="zh-CN"/>
        </w:rPr>
        <w:t>1.</w:t>
      </w:r>
      <w:r>
        <w:rPr>
          <w:rFonts w:hint="eastAsia" w:ascii="仿宋" w:hAnsi="仿宋" w:eastAsia="仿宋" w:cs="仿宋"/>
          <w:b/>
          <w:bCs/>
          <w:sz w:val="28"/>
          <w:szCs w:val="28"/>
          <w:highlight w:val="none"/>
        </w:rPr>
        <w:t>学习内容：</w:t>
      </w:r>
      <w:r>
        <w:rPr>
          <w:rFonts w:hint="eastAsia" w:ascii="仿宋" w:hAnsi="仿宋" w:eastAsia="仿宋" w:cs="仿宋"/>
          <w:sz w:val="28"/>
          <w:szCs w:val="28"/>
          <w:highlight w:val="none"/>
        </w:rPr>
        <w:t> 既包含专业课程，使学员从理论上提升，还包含行业前沿应用课程或讲座，达到学以致用。  </w:t>
      </w:r>
    </w:p>
    <w:p w14:paraId="0FD1AF40">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2.</w:t>
      </w:r>
      <w:r>
        <w:rPr>
          <w:rFonts w:hint="eastAsia" w:ascii="仿宋" w:hAnsi="仿宋" w:eastAsia="仿宋" w:cs="仿宋"/>
          <w:b/>
          <w:bCs/>
          <w:sz w:val="28"/>
          <w:szCs w:val="28"/>
          <w:highlight w:val="none"/>
        </w:rPr>
        <w:t>课程形式：</w:t>
      </w:r>
      <w:r>
        <w:rPr>
          <w:rFonts w:hint="eastAsia" w:ascii="仿宋" w:hAnsi="仿宋" w:eastAsia="仿宋" w:cs="仿宋"/>
          <w:sz w:val="28"/>
          <w:szCs w:val="28"/>
          <w:highlight w:val="none"/>
        </w:rPr>
        <w:t>在职业余时间学习，线上线下相结合，线下课程一般一学期1次（线上同步直播），上课地点为东华大学延安路校区。所有线上及线下课程全程录制，学员可登录学习平台反复学习。此外，校内上课可与产业前沿基地、产业集聚区、知名企业现场教学相结合。</w:t>
      </w:r>
    </w:p>
    <w:p w14:paraId="47EE03ED">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3.</w:t>
      </w:r>
      <w:r>
        <w:rPr>
          <w:rFonts w:hint="eastAsia" w:ascii="仿宋" w:hAnsi="仿宋" w:eastAsia="仿宋" w:cs="仿宋"/>
          <w:b/>
          <w:bCs/>
          <w:sz w:val="28"/>
          <w:szCs w:val="28"/>
          <w:highlight w:val="none"/>
        </w:rPr>
        <w:t>学制：</w:t>
      </w:r>
      <w:r>
        <w:rPr>
          <w:rFonts w:hint="eastAsia" w:ascii="仿宋" w:hAnsi="仿宋" w:eastAsia="仿宋" w:cs="仿宋"/>
          <w:sz w:val="28"/>
          <w:szCs w:val="28"/>
          <w:highlight w:val="none"/>
        </w:rPr>
        <w:t>课程学习1-2年。</w:t>
      </w:r>
    </w:p>
    <w:p w14:paraId="31C0939B">
      <w:pPr>
        <w:keepNext w:val="0"/>
        <w:keepLines w:val="0"/>
        <w:pageBreakBefore w:val="0"/>
        <w:kinsoku/>
        <w:wordWrap/>
        <w:overflowPunct/>
        <w:topLinePunct w:val="0"/>
        <w:autoSpaceDE/>
        <w:autoSpaceDN/>
        <w:bidi w:val="0"/>
        <w:adjustRightInd/>
        <w:snapToGrid/>
        <w:spacing w:before="78" w:beforeLines="25" w:line="40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三</w:t>
      </w:r>
      <w:r>
        <w:rPr>
          <w:rFonts w:hint="eastAsia" w:ascii="仿宋" w:hAnsi="仿宋" w:eastAsia="仿宋" w:cs="仿宋"/>
          <w:b/>
          <w:sz w:val="28"/>
          <w:szCs w:val="28"/>
          <w:highlight w:val="none"/>
        </w:rPr>
        <w:t>、专业及课程设置</w:t>
      </w:r>
    </w:p>
    <w:p w14:paraId="18188E0D">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 xml:space="preserve">    </w:t>
      </w:r>
      <w:r>
        <w:rPr>
          <w:rFonts w:hint="eastAsia" w:ascii="仿宋" w:hAnsi="仿宋" w:eastAsia="仿宋" w:cs="仿宋"/>
          <w:sz w:val="28"/>
          <w:szCs w:val="28"/>
          <w:highlight w:val="none"/>
        </w:rPr>
        <w:t> </w:t>
      </w:r>
      <w:r>
        <w:rPr>
          <w:rFonts w:hint="eastAsia" w:ascii="仿宋" w:hAnsi="仿宋" w:eastAsia="仿宋" w:cs="仿宋"/>
          <w:sz w:val="28"/>
          <w:szCs w:val="28"/>
          <w:highlight w:val="none"/>
          <w:lang w:eastAsia="zh-CN"/>
        </w:rPr>
        <w:t>1.</w:t>
      </w:r>
      <w:r>
        <w:rPr>
          <w:rFonts w:hint="eastAsia" w:ascii="仿宋" w:hAnsi="仿宋" w:eastAsia="仿宋" w:cs="仿宋"/>
          <w:b/>
          <w:bCs/>
          <w:sz w:val="28"/>
          <w:szCs w:val="28"/>
          <w:highlight w:val="none"/>
        </w:rPr>
        <w:t>专业方向</w:t>
      </w:r>
    </w:p>
    <w:tbl>
      <w:tblPr>
        <w:tblStyle w:val="16"/>
        <w:tblW w:w="51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2521"/>
        <w:gridCol w:w="4536"/>
      </w:tblGrid>
      <w:tr w14:paraId="5936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12" w:type="pct"/>
            <w:vAlign w:val="center"/>
          </w:tcPr>
          <w:p w14:paraId="28450C3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学科名称</w:t>
            </w:r>
          </w:p>
        </w:tc>
        <w:tc>
          <w:tcPr>
            <w:tcW w:w="1353" w:type="pct"/>
            <w:vAlign w:val="center"/>
          </w:tcPr>
          <w:p w14:paraId="6B438D0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课程班</w:t>
            </w:r>
          </w:p>
        </w:tc>
        <w:tc>
          <w:tcPr>
            <w:tcW w:w="2435" w:type="pct"/>
            <w:vAlign w:val="center"/>
          </w:tcPr>
          <w:p w14:paraId="425FC3A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对应方向</w:t>
            </w:r>
          </w:p>
        </w:tc>
      </w:tr>
      <w:tr w14:paraId="6E2E4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12" w:type="pct"/>
            <w:vAlign w:val="center"/>
          </w:tcPr>
          <w:p w14:paraId="0A98FB1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生物医学工程</w:t>
            </w:r>
          </w:p>
        </w:tc>
        <w:tc>
          <w:tcPr>
            <w:tcW w:w="1353" w:type="pct"/>
            <w:vAlign w:val="center"/>
          </w:tcPr>
          <w:p w14:paraId="56BBA34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生物医学工程班</w:t>
            </w:r>
          </w:p>
        </w:tc>
        <w:tc>
          <w:tcPr>
            <w:tcW w:w="2435" w:type="pct"/>
            <w:vAlign w:val="center"/>
          </w:tcPr>
          <w:p w14:paraId="606CEF72">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生物医学工程、生物化学与分子生物学</w:t>
            </w:r>
          </w:p>
        </w:tc>
      </w:tr>
      <w:tr w14:paraId="648E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12" w:type="pct"/>
            <w:vAlign w:val="center"/>
          </w:tcPr>
          <w:p w14:paraId="669D0A7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机械工程</w:t>
            </w:r>
          </w:p>
        </w:tc>
        <w:tc>
          <w:tcPr>
            <w:tcW w:w="1353" w:type="pct"/>
            <w:vAlign w:val="center"/>
          </w:tcPr>
          <w:p w14:paraId="34F7B69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机械工程班</w:t>
            </w:r>
          </w:p>
        </w:tc>
        <w:tc>
          <w:tcPr>
            <w:tcW w:w="2435" w:type="pct"/>
            <w:vAlign w:val="center"/>
          </w:tcPr>
          <w:p w14:paraId="400115DB">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机械工程、成型制造、工业设计</w:t>
            </w:r>
          </w:p>
        </w:tc>
      </w:tr>
      <w:tr w14:paraId="2018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12" w:type="pct"/>
            <w:vAlign w:val="center"/>
          </w:tcPr>
          <w:p w14:paraId="17B04F9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材料科学与工程</w:t>
            </w:r>
          </w:p>
        </w:tc>
        <w:tc>
          <w:tcPr>
            <w:tcW w:w="1353" w:type="pct"/>
            <w:vAlign w:val="center"/>
          </w:tcPr>
          <w:p w14:paraId="048548C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材料加工工程班</w:t>
            </w:r>
          </w:p>
        </w:tc>
        <w:tc>
          <w:tcPr>
            <w:tcW w:w="2435" w:type="pct"/>
            <w:vAlign w:val="center"/>
          </w:tcPr>
          <w:p w14:paraId="0AB0F29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材料加工工程、功能与智能材料</w:t>
            </w:r>
          </w:p>
        </w:tc>
      </w:tr>
      <w:tr w14:paraId="075B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1212" w:type="pct"/>
            <w:vAlign w:val="center"/>
          </w:tcPr>
          <w:p w14:paraId="4F45B77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计算机科学与技术</w:t>
            </w:r>
          </w:p>
        </w:tc>
        <w:tc>
          <w:tcPr>
            <w:tcW w:w="1353" w:type="pct"/>
            <w:vAlign w:val="center"/>
          </w:tcPr>
          <w:p w14:paraId="22C8355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计算机科学与技术班</w:t>
            </w:r>
          </w:p>
        </w:tc>
        <w:tc>
          <w:tcPr>
            <w:tcW w:w="2435" w:type="pct"/>
            <w:vAlign w:val="center"/>
          </w:tcPr>
          <w:p w14:paraId="0ADC0130">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数据科学与工程、图像处理与模式识别、计算机网络与网络空间安全、分布式计算机系统</w:t>
            </w:r>
          </w:p>
        </w:tc>
      </w:tr>
      <w:tr w14:paraId="17A89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212" w:type="pct"/>
            <w:vAlign w:val="center"/>
          </w:tcPr>
          <w:p w14:paraId="3A123DE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纺织科学与工程</w:t>
            </w:r>
          </w:p>
        </w:tc>
        <w:tc>
          <w:tcPr>
            <w:tcW w:w="1353" w:type="pct"/>
            <w:vAlign w:val="center"/>
          </w:tcPr>
          <w:p w14:paraId="29FAEDF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纺织科学与工程班</w:t>
            </w:r>
          </w:p>
        </w:tc>
        <w:tc>
          <w:tcPr>
            <w:tcW w:w="2435" w:type="pct"/>
            <w:vAlign w:val="center"/>
          </w:tcPr>
          <w:p w14:paraId="2BDBDBBE">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纺织工程、针织工程、非织造材料与工程、纺织材料与纺织品设计等</w:t>
            </w:r>
          </w:p>
        </w:tc>
      </w:tr>
      <w:tr w14:paraId="25CBD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12" w:type="pct"/>
            <w:vAlign w:val="center"/>
          </w:tcPr>
          <w:p w14:paraId="54A43A3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纺织化学与染整工程</w:t>
            </w:r>
          </w:p>
        </w:tc>
        <w:tc>
          <w:tcPr>
            <w:tcW w:w="1353" w:type="pct"/>
            <w:vAlign w:val="center"/>
          </w:tcPr>
          <w:p w14:paraId="5F4802B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纺织化学与染整工程班</w:t>
            </w:r>
          </w:p>
        </w:tc>
        <w:tc>
          <w:tcPr>
            <w:tcW w:w="2435" w:type="pct"/>
            <w:vAlign w:val="center"/>
          </w:tcPr>
          <w:p w14:paraId="7DA9B809">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纺织化学与染整工程</w:t>
            </w:r>
          </w:p>
        </w:tc>
      </w:tr>
      <w:tr w14:paraId="31D23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12" w:type="pct"/>
            <w:vAlign w:val="center"/>
          </w:tcPr>
          <w:p w14:paraId="0FFE490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环境科学与工程</w:t>
            </w:r>
          </w:p>
        </w:tc>
        <w:tc>
          <w:tcPr>
            <w:tcW w:w="1353" w:type="pct"/>
            <w:vAlign w:val="center"/>
          </w:tcPr>
          <w:p w14:paraId="7547BA0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环境工程班</w:t>
            </w:r>
          </w:p>
        </w:tc>
        <w:tc>
          <w:tcPr>
            <w:tcW w:w="2435" w:type="pct"/>
            <w:vAlign w:val="center"/>
          </w:tcPr>
          <w:p w14:paraId="548188C7">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环境化学与环境材料、大气环境污染分析、环境生物与毒理、环境生态修复与水资源利用、环境监测评价与规划管理</w:t>
            </w:r>
          </w:p>
        </w:tc>
      </w:tr>
      <w:tr w14:paraId="30D2F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12" w:type="pct"/>
            <w:vAlign w:val="center"/>
          </w:tcPr>
          <w:p w14:paraId="595FE3E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软件工程</w:t>
            </w:r>
          </w:p>
        </w:tc>
        <w:tc>
          <w:tcPr>
            <w:tcW w:w="1353" w:type="pct"/>
            <w:vAlign w:val="center"/>
          </w:tcPr>
          <w:p w14:paraId="45ED885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软件工程班</w:t>
            </w:r>
          </w:p>
        </w:tc>
        <w:tc>
          <w:tcPr>
            <w:tcW w:w="2435" w:type="pct"/>
            <w:vAlign w:val="center"/>
          </w:tcPr>
          <w:p w14:paraId="19A8F3D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数据库与信息系统、软件设计理论、软件项目管理、软件系统开发</w:t>
            </w:r>
          </w:p>
        </w:tc>
      </w:tr>
      <w:tr w14:paraId="0EA4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12" w:type="pct"/>
            <w:vAlign w:val="center"/>
          </w:tcPr>
          <w:p w14:paraId="141361F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工商管理学</w:t>
            </w:r>
          </w:p>
        </w:tc>
        <w:tc>
          <w:tcPr>
            <w:tcW w:w="1353" w:type="pct"/>
            <w:vAlign w:val="center"/>
          </w:tcPr>
          <w:p w14:paraId="3DDB3BC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工商管理班</w:t>
            </w:r>
          </w:p>
        </w:tc>
        <w:tc>
          <w:tcPr>
            <w:tcW w:w="2435" w:type="pct"/>
            <w:vAlign w:val="center"/>
          </w:tcPr>
          <w:p w14:paraId="07CB06A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会计学、企业管理、旅游管理、技术经济及管理</w:t>
            </w:r>
          </w:p>
        </w:tc>
      </w:tr>
      <w:tr w14:paraId="343F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212" w:type="pct"/>
            <w:vAlign w:val="center"/>
          </w:tcPr>
          <w:p w14:paraId="5284D92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设计学</w:t>
            </w:r>
          </w:p>
        </w:tc>
        <w:tc>
          <w:tcPr>
            <w:tcW w:w="1353" w:type="pct"/>
            <w:vAlign w:val="center"/>
          </w:tcPr>
          <w:p w14:paraId="0A3E487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艺术设计班</w:t>
            </w:r>
          </w:p>
        </w:tc>
        <w:tc>
          <w:tcPr>
            <w:tcW w:w="2435" w:type="pct"/>
            <w:vAlign w:val="center"/>
          </w:tcPr>
          <w:p w14:paraId="0687433A">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服装设计理论与应用、环境艺术设计理论与应用、视觉传达与数字媒体设计理论与应用</w:t>
            </w:r>
          </w:p>
        </w:tc>
      </w:tr>
    </w:tbl>
    <w:p w14:paraId="7B0A2DBB">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hint="eastAsia" w:ascii="仿宋" w:hAnsi="仿宋" w:eastAsia="仿宋" w:cs="仿宋"/>
          <w:b/>
          <w:sz w:val="28"/>
          <w:szCs w:val="28"/>
          <w:highlight w:val="none"/>
        </w:rPr>
      </w:pPr>
    </w:p>
    <w:p w14:paraId="3BF3C7E7">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w:t>
      </w:r>
      <w:r>
        <w:rPr>
          <w:rFonts w:hint="eastAsia" w:ascii="仿宋" w:hAnsi="仿宋" w:eastAsia="仿宋" w:cs="仿宋"/>
          <w:sz w:val="28"/>
          <w:szCs w:val="28"/>
          <w:highlight w:val="none"/>
          <w:lang w:eastAsia="zh-CN"/>
        </w:rPr>
        <w:t>2.</w:t>
      </w:r>
      <w:r>
        <w:rPr>
          <w:rFonts w:hint="eastAsia" w:ascii="仿宋" w:hAnsi="仿宋" w:eastAsia="仿宋" w:cs="仿宋"/>
          <w:b/>
          <w:bCs/>
          <w:sz w:val="28"/>
          <w:szCs w:val="28"/>
          <w:highlight w:val="none"/>
        </w:rPr>
        <w:t>主要课程</w:t>
      </w:r>
    </w:p>
    <w:p w14:paraId="48320B9C">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2" w:firstLineChars="200"/>
        <w:jc w:val="left"/>
        <w:textAlignment w:val="auto"/>
        <w:rPr>
          <w:rFonts w:hint="eastAsia" w:ascii="仿宋" w:hAnsi="仿宋" w:eastAsia="仿宋" w:cs="仿宋"/>
          <w:color w:val="2F2F2F"/>
          <w:kern w:val="0"/>
          <w:sz w:val="28"/>
          <w:szCs w:val="28"/>
          <w:highlight w:val="none"/>
        </w:rPr>
      </w:pPr>
      <w:r>
        <w:rPr>
          <w:rFonts w:hint="eastAsia" w:ascii="仿宋" w:hAnsi="仿宋" w:eastAsia="仿宋" w:cs="仿宋"/>
          <w:b/>
          <w:bCs/>
          <w:color w:val="2F2F2F"/>
          <w:kern w:val="0"/>
          <w:sz w:val="28"/>
          <w:szCs w:val="28"/>
          <w:highlight w:val="none"/>
        </w:rPr>
        <w:t>生物医学工程：</w:t>
      </w:r>
      <w:r>
        <w:rPr>
          <w:rFonts w:hint="eastAsia" w:ascii="仿宋" w:hAnsi="仿宋" w:eastAsia="仿宋" w:cs="仿宋"/>
          <w:color w:val="2F2F2F"/>
          <w:kern w:val="0"/>
          <w:sz w:val="28"/>
          <w:szCs w:val="28"/>
          <w:highlight w:val="none"/>
        </w:rPr>
        <w:t>综合英语、科学素养概论、自然辩证法概论、新型药物制剂与技术、生物材料学、纳米医学、生物医学工程导论、高级细胞生物学、医用高分子材料、蛋白质结构与功能、新药研发学、系统生物医学、现代生化仪器分析等。</w:t>
      </w:r>
    </w:p>
    <w:p w14:paraId="311575AC">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2" w:firstLineChars="200"/>
        <w:textAlignment w:val="auto"/>
        <w:rPr>
          <w:rFonts w:hint="eastAsia" w:ascii="仿宋" w:hAnsi="仿宋" w:eastAsia="仿宋" w:cs="仿宋"/>
          <w:color w:val="2F2F2F"/>
          <w:kern w:val="0"/>
          <w:sz w:val="28"/>
          <w:szCs w:val="28"/>
          <w:highlight w:val="none"/>
        </w:rPr>
      </w:pPr>
      <w:r>
        <w:rPr>
          <w:rFonts w:hint="eastAsia" w:ascii="仿宋" w:hAnsi="仿宋" w:eastAsia="仿宋" w:cs="仿宋"/>
          <w:b/>
          <w:bCs/>
          <w:color w:val="2F2F2F"/>
          <w:kern w:val="0"/>
          <w:sz w:val="28"/>
          <w:szCs w:val="28"/>
          <w:highlight w:val="none"/>
        </w:rPr>
        <w:t>机械工程：</w:t>
      </w:r>
      <w:r>
        <w:rPr>
          <w:rFonts w:hint="eastAsia" w:ascii="仿宋" w:hAnsi="仿宋" w:eastAsia="仿宋" w:cs="仿宋"/>
          <w:color w:val="2F2F2F"/>
          <w:kern w:val="0"/>
          <w:sz w:val="28"/>
          <w:szCs w:val="28"/>
          <w:highlight w:val="none"/>
        </w:rPr>
        <w:t>综合英语、科学素养概论、自然辩证法概论、机电控制系统工程、人因工程学、智能制造系统、现代设计方法、矩阵理论及其应用、弹性力学基础、产品创新设计、机电系统设计与控制、现代测试技术、新型纺织机械、嵌入式系统设计与应用等。</w:t>
      </w:r>
    </w:p>
    <w:p w14:paraId="3AF96267">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2" w:firstLineChars="200"/>
        <w:textAlignment w:val="auto"/>
        <w:rPr>
          <w:rFonts w:hint="eastAsia" w:ascii="仿宋" w:hAnsi="仿宋" w:eastAsia="仿宋" w:cs="仿宋"/>
          <w:color w:val="2F2F2F"/>
          <w:kern w:val="0"/>
          <w:sz w:val="28"/>
          <w:szCs w:val="28"/>
          <w:highlight w:val="none"/>
        </w:rPr>
      </w:pPr>
      <w:r>
        <w:rPr>
          <w:rFonts w:hint="eastAsia" w:ascii="仿宋" w:hAnsi="仿宋" w:eastAsia="仿宋" w:cs="仿宋"/>
          <w:b/>
          <w:bCs/>
          <w:color w:val="2F2F2F"/>
          <w:kern w:val="0"/>
          <w:sz w:val="28"/>
          <w:szCs w:val="28"/>
          <w:highlight w:val="none"/>
        </w:rPr>
        <w:t>材料加工工程：</w:t>
      </w:r>
      <w:r>
        <w:rPr>
          <w:rFonts w:hint="eastAsia" w:ascii="仿宋" w:hAnsi="仿宋" w:eastAsia="仿宋" w:cs="仿宋"/>
          <w:color w:val="2F2F2F"/>
          <w:kern w:val="0"/>
          <w:sz w:val="28"/>
          <w:szCs w:val="28"/>
          <w:highlight w:val="none"/>
        </w:rPr>
        <w:t>综合英语、科学素养概论、自然辩证法概论、现代材料物理化学、材料成型与加工、先进材料进展、功能无机材料、纳米材料与技术、碳材料科学与技术、高分子合成化学、多孔材料化学、复合材料及其界面、智能材料与应用、功能与生物高分子材料等。</w:t>
      </w:r>
    </w:p>
    <w:p w14:paraId="1171247A">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2" w:firstLineChars="200"/>
        <w:jc w:val="left"/>
        <w:textAlignment w:val="auto"/>
        <w:rPr>
          <w:rFonts w:hint="eastAsia" w:ascii="仿宋" w:hAnsi="仿宋" w:eastAsia="仿宋" w:cs="仿宋"/>
          <w:color w:val="2F2F2F"/>
          <w:kern w:val="0"/>
          <w:sz w:val="28"/>
          <w:szCs w:val="28"/>
          <w:highlight w:val="none"/>
        </w:rPr>
      </w:pPr>
      <w:r>
        <w:rPr>
          <w:rFonts w:hint="eastAsia" w:ascii="仿宋" w:hAnsi="仿宋" w:eastAsia="仿宋" w:cs="仿宋"/>
          <w:b/>
          <w:bCs/>
          <w:color w:val="2F2F2F"/>
          <w:kern w:val="0"/>
          <w:sz w:val="28"/>
          <w:szCs w:val="28"/>
          <w:highlight w:val="none"/>
        </w:rPr>
        <w:t>计算机科学与技术：</w:t>
      </w:r>
      <w:r>
        <w:rPr>
          <w:rFonts w:hint="eastAsia" w:ascii="仿宋" w:hAnsi="仿宋" w:eastAsia="仿宋" w:cs="仿宋"/>
          <w:color w:val="2F2F2F"/>
          <w:kern w:val="0"/>
          <w:sz w:val="28"/>
          <w:szCs w:val="28"/>
          <w:highlight w:val="none"/>
        </w:rPr>
        <w:t>综合英语、科学素养概论、自然辩证法概论、机器学习、组合数学、高级算法设计与分析、矩阵论与最优化方法、高级程序设计、数据库系统实现、深度学习与应用实践、区块链技术、计算机网络安全与信息加密、图像与三维物体的检测分割与识别、人工智能导论、智能感知与边缘计算等。</w:t>
      </w:r>
    </w:p>
    <w:p w14:paraId="7AAD6772">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2" w:firstLineChars="200"/>
        <w:textAlignment w:val="auto"/>
        <w:rPr>
          <w:rFonts w:hint="eastAsia" w:ascii="仿宋" w:hAnsi="仿宋" w:eastAsia="仿宋" w:cs="仿宋"/>
          <w:color w:val="2F2F2F"/>
          <w:kern w:val="0"/>
          <w:sz w:val="28"/>
          <w:szCs w:val="28"/>
          <w:highlight w:val="none"/>
        </w:rPr>
      </w:pPr>
      <w:r>
        <w:rPr>
          <w:rFonts w:hint="eastAsia" w:ascii="仿宋" w:hAnsi="仿宋" w:eastAsia="仿宋" w:cs="仿宋"/>
          <w:b/>
          <w:bCs/>
          <w:color w:val="2F2F2F"/>
          <w:kern w:val="0"/>
          <w:sz w:val="28"/>
          <w:szCs w:val="28"/>
          <w:highlight w:val="none"/>
        </w:rPr>
        <w:t>纺织科学与工程：</w:t>
      </w:r>
      <w:r>
        <w:rPr>
          <w:rFonts w:hint="eastAsia" w:ascii="仿宋" w:hAnsi="仿宋" w:eastAsia="仿宋" w:cs="仿宋"/>
          <w:color w:val="2F2F2F"/>
          <w:kern w:val="0"/>
          <w:sz w:val="28"/>
          <w:szCs w:val="28"/>
          <w:highlight w:val="none"/>
        </w:rPr>
        <w:t>综合英语、科学素养概论、自然辩证法概论、高分子物理与化学、针织工艺理论、纺纱工艺理论、纺织最优化设计与分析、纺织物理、纤维集合体力学、高分子材料科学、纺织品设计原理、纺织应用化学、纺织检测技术、纺织复合材料设计、非织造成型工艺及加固理论等。</w:t>
      </w:r>
    </w:p>
    <w:p w14:paraId="4B876B55">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2" w:firstLineChars="200"/>
        <w:textAlignment w:val="auto"/>
        <w:rPr>
          <w:rFonts w:hint="eastAsia" w:ascii="仿宋" w:hAnsi="仿宋" w:eastAsia="仿宋" w:cs="仿宋"/>
          <w:color w:val="2F2F2F"/>
          <w:kern w:val="0"/>
          <w:sz w:val="28"/>
          <w:szCs w:val="28"/>
          <w:highlight w:val="none"/>
        </w:rPr>
      </w:pPr>
      <w:r>
        <w:rPr>
          <w:rFonts w:hint="eastAsia" w:ascii="仿宋" w:hAnsi="仿宋" w:eastAsia="仿宋" w:cs="仿宋"/>
          <w:b/>
          <w:bCs/>
          <w:color w:val="2F2F2F"/>
          <w:kern w:val="0"/>
          <w:sz w:val="28"/>
          <w:szCs w:val="28"/>
          <w:highlight w:val="none"/>
        </w:rPr>
        <w:t>纺织化学与染整工程：</w:t>
      </w:r>
      <w:r>
        <w:rPr>
          <w:rFonts w:hint="eastAsia" w:ascii="仿宋" w:hAnsi="仿宋" w:eastAsia="仿宋" w:cs="仿宋"/>
          <w:color w:val="2F2F2F"/>
          <w:kern w:val="0"/>
          <w:sz w:val="28"/>
          <w:szCs w:val="28"/>
          <w:highlight w:val="none"/>
        </w:rPr>
        <w:t>综合英语、科学素养概论、自然辩证法概论、有机化合物的结构分析、纺织印染分析及检测技术、新型染整工艺技术与原理、染色物理化学、功能整理、实验有机化学、颜色科学与技术、现代仪器分析方法在染整中的应用、配位化学等。</w:t>
      </w:r>
    </w:p>
    <w:p w14:paraId="64AF793A">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2" w:firstLineChars="200"/>
        <w:textAlignment w:val="auto"/>
        <w:rPr>
          <w:rFonts w:hint="eastAsia" w:ascii="仿宋" w:hAnsi="仿宋" w:eastAsia="仿宋" w:cs="仿宋"/>
          <w:color w:val="2F2F2F"/>
          <w:kern w:val="0"/>
          <w:sz w:val="28"/>
          <w:szCs w:val="28"/>
          <w:highlight w:val="none"/>
        </w:rPr>
      </w:pPr>
      <w:r>
        <w:rPr>
          <w:rFonts w:hint="eastAsia" w:ascii="仿宋" w:hAnsi="仿宋" w:eastAsia="仿宋" w:cs="仿宋"/>
          <w:b/>
          <w:bCs/>
          <w:color w:val="2F2F2F"/>
          <w:kern w:val="0"/>
          <w:sz w:val="28"/>
          <w:szCs w:val="28"/>
          <w:highlight w:val="none"/>
        </w:rPr>
        <w:t>环境工程：</w:t>
      </w:r>
      <w:r>
        <w:rPr>
          <w:rFonts w:hint="eastAsia" w:ascii="仿宋" w:hAnsi="仿宋" w:eastAsia="仿宋" w:cs="仿宋"/>
          <w:color w:val="2F2F2F"/>
          <w:kern w:val="0"/>
          <w:sz w:val="28"/>
          <w:szCs w:val="28"/>
          <w:highlight w:val="none"/>
        </w:rPr>
        <w:t>综合英语、科学素养概论、自然辩证法概论、物理性污染控制、应用统计、数值分析、大气污染控制工程、水污染控制原理与技术、环境监测技术进展、废物资源化及回用原理与技术、环境微生物学、土壤污染控制原理与技术、印染废水处理、电化学原理及测试方法、环境评价方法与案例分析等。</w:t>
      </w:r>
    </w:p>
    <w:p w14:paraId="6202B416">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2" w:firstLineChars="200"/>
        <w:textAlignment w:val="auto"/>
        <w:rPr>
          <w:rFonts w:hint="eastAsia" w:ascii="仿宋" w:hAnsi="仿宋" w:eastAsia="仿宋" w:cs="仿宋"/>
          <w:color w:val="2F2F2F"/>
          <w:kern w:val="0"/>
          <w:sz w:val="28"/>
          <w:szCs w:val="28"/>
          <w:highlight w:val="none"/>
        </w:rPr>
      </w:pPr>
      <w:r>
        <w:rPr>
          <w:rFonts w:hint="eastAsia" w:ascii="仿宋" w:hAnsi="仿宋" w:eastAsia="仿宋" w:cs="仿宋"/>
          <w:b/>
          <w:bCs/>
          <w:color w:val="2F2F2F"/>
          <w:kern w:val="0"/>
          <w:sz w:val="28"/>
          <w:szCs w:val="28"/>
          <w:highlight w:val="none"/>
        </w:rPr>
        <w:t>软件工程：</w:t>
      </w:r>
      <w:r>
        <w:rPr>
          <w:rFonts w:hint="eastAsia" w:ascii="仿宋" w:hAnsi="仿宋" w:eastAsia="仿宋" w:cs="仿宋"/>
          <w:color w:val="2F2F2F"/>
          <w:kern w:val="0"/>
          <w:sz w:val="28"/>
          <w:szCs w:val="28"/>
          <w:highlight w:val="none"/>
        </w:rPr>
        <w:t>综合英语、科学素养概论、自然辩证法概论、机器学习、高级算法设计与分析、组合数学、高级程序设计、概率统计与随机过程、数据库系统实现、深度学习与应用实践、设计模式与对象技术、软件开发过程和模式、软件测试方法学、区块链技术、智能感知与边缘计算、人工智能导论、系统建模与分析等。</w:t>
      </w:r>
    </w:p>
    <w:p w14:paraId="4B12A299">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2" w:firstLineChars="200"/>
        <w:textAlignment w:val="auto"/>
        <w:rPr>
          <w:rFonts w:hint="eastAsia" w:ascii="仿宋" w:hAnsi="仿宋" w:eastAsia="仿宋" w:cs="仿宋"/>
          <w:color w:val="2F2F2F"/>
          <w:kern w:val="0"/>
          <w:sz w:val="28"/>
          <w:szCs w:val="28"/>
          <w:highlight w:val="none"/>
        </w:rPr>
      </w:pPr>
      <w:r>
        <w:rPr>
          <w:rFonts w:hint="eastAsia" w:ascii="仿宋" w:hAnsi="仿宋" w:eastAsia="仿宋" w:cs="仿宋"/>
          <w:b/>
          <w:bCs/>
          <w:color w:val="2F2F2F"/>
          <w:kern w:val="0"/>
          <w:sz w:val="28"/>
          <w:szCs w:val="28"/>
          <w:highlight w:val="none"/>
        </w:rPr>
        <w:t>工商管理：</w:t>
      </w:r>
      <w:r>
        <w:rPr>
          <w:rFonts w:hint="eastAsia" w:ascii="仿宋" w:hAnsi="仿宋" w:eastAsia="仿宋" w:cs="仿宋"/>
          <w:color w:val="2F2F2F"/>
          <w:kern w:val="0"/>
          <w:sz w:val="28"/>
          <w:szCs w:val="28"/>
          <w:highlight w:val="none"/>
        </w:rPr>
        <w:t>综合英语、科学素养概论、自然辩证法概论、管理经济学、当代营销理论、应用统计学、公司财务管理、战略管理理论与应用、会计理论与资本市场前沿、数字创新管理、组织与人力资源管理、创新与创业管理、企业伦理与企业文化等。</w:t>
      </w:r>
    </w:p>
    <w:p w14:paraId="64F815BE">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2" w:firstLineChars="200"/>
        <w:textAlignment w:val="auto"/>
        <w:rPr>
          <w:rFonts w:hint="eastAsia" w:ascii="仿宋" w:hAnsi="仿宋" w:eastAsia="仿宋" w:cs="仿宋"/>
          <w:color w:val="2F2F2F"/>
          <w:kern w:val="0"/>
          <w:sz w:val="28"/>
          <w:szCs w:val="28"/>
          <w:highlight w:val="none"/>
        </w:rPr>
      </w:pPr>
      <w:r>
        <w:rPr>
          <w:rFonts w:hint="eastAsia" w:ascii="仿宋" w:hAnsi="仿宋" w:eastAsia="仿宋" w:cs="仿宋"/>
          <w:b/>
          <w:bCs/>
          <w:color w:val="2F2F2F"/>
          <w:kern w:val="0"/>
          <w:sz w:val="28"/>
          <w:szCs w:val="28"/>
          <w:highlight w:val="none"/>
        </w:rPr>
        <w:t>艺术设计：</w:t>
      </w:r>
      <w:r>
        <w:rPr>
          <w:rFonts w:hint="eastAsia" w:ascii="仿宋" w:hAnsi="仿宋" w:eastAsia="仿宋" w:cs="仿宋"/>
          <w:color w:val="2F2F2F"/>
          <w:kern w:val="0"/>
          <w:sz w:val="28"/>
          <w:szCs w:val="28"/>
          <w:highlight w:val="none"/>
        </w:rPr>
        <w:t>综合英语、科学素养概论、艺术设计史、设计思维、设计艺术学、时尚流行趋势与前沿科技、多元文化与时尚创新、环境系统设计、环境设计前沿、体验与沟通设计、数字媒体设计前沿、现代设计方法实务、造型语意研究、民族民间服饰、产业创新与商业模式研究、服装社会心理学研究、服装系统设计方法研究、环境设计要素研究、广告创意与传播设计等。</w:t>
      </w:r>
    </w:p>
    <w:p w14:paraId="6300B381">
      <w:pPr>
        <w:keepNext w:val="0"/>
        <w:keepLines w:val="0"/>
        <w:pageBreakBefore w:val="0"/>
        <w:kinsoku/>
        <w:wordWrap/>
        <w:overflowPunct/>
        <w:topLinePunct w:val="0"/>
        <w:autoSpaceDE/>
        <w:autoSpaceDN/>
        <w:bidi w:val="0"/>
        <w:adjustRightInd/>
        <w:snapToGrid/>
        <w:spacing w:before="78" w:beforeLines="25" w:line="40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四</w:t>
      </w:r>
      <w:r>
        <w:rPr>
          <w:rFonts w:hint="eastAsia" w:ascii="仿宋" w:hAnsi="仿宋" w:eastAsia="仿宋" w:cs="仿宋"/>
          <w:b/>
          <w:sz w:val="28"/>
          <w:szCs w:val="28"/>
          <w:highlight w:val="none"/>
        </w:rPr>
        <w:t>、学位申请与授予</w:t>
      </w:r>
    </w:p>
    <w:p w14:paraId="7AAA56E3">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1.</w:t>
      </w:r>
      <w:r>
        <w:rPr>
          <w:rFonts w:hint="eastAsia" w:ascii="仿宋" w:hAnsi="仿宋" w:eastAsia="仿宋" w:cs="仿宋"/>
          <w:b/>
          <w:bCs/>
          <w:sz w:val="28"/>
          <w:szCs w:val="28"/>
          <w:highlight w:val="none"/>
        </w:rPr>
        <w:t>申请条件：</w:t>
      </w:r>
      <w:r>
        <w:rPr>
          <w:rFonts w:hint="eastAsia" w:ascii="仿宋" w:hAnsi="仿宋" w:eastAsia="仿宋" w:cs="仿宋"/>
          <w:sz w:val="28"/>
          <w:szCs w:val="28"/>
          <w:highlight w:val="none"/>
        </w:rPr>
        <w:t>学员在规定时间内修满培养方案规定的学分，通过所有课程；通过国家组织的同等学力人员申请硕士学位外国语水平和学科综合水平全国统一考试；完成学位论文开题报告、撰写与答辩。</w:t>
      </w:r>
    </w:p>
    <w:p w14:paraId="5CC78163">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注：</w:t>
      </w:r>
      <w:r>
        <w:rPr>
          <w:rFonts w:hint="eastAsia" w:ascii="仿宋" w:hAnsi="仿宋" w:eastAsia="仿宋" w:cs="仿宋"/>
          <w:sz w:val="28"/>
          <w:szCs w:val="28"/>
          <w:highlight w:val="none"/>
        </w:rPr>
        <w:t>纺织科学与工程、材料科学与工程、纺织化学与染整工程、环境科学与工程、设计学、生物医学工程等东华大学特殊专业，学科综合水平考试由学校自行组织。</w:t>
      </w:r>
    </w:p>
    <w:p w14:paraId="475E2F49">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2.</w:t>
      </w:r>
      <w:r>
        <w:rPr>
          <w:rFonts w:hint="eastAsia" w:ascii="仿宋" w:hAnsi="仿宋" w:eastAsia="仿宋" w:cs="仿宋"/>
          <w:b/>
          <w:bCs/>
          <w:sz w:val="28"/>
          <w:szCs w:val="28"/>
          <w:highlight w:val="none"/>
        </w:rPr>
        <w:t>申请流程：</w:t>
      </w:r>
      <w:r>
        <w:rPr>
          <w:rFonts w:hint="eastAsia" w:ascii="仿宋" w:hAnsi="仿宋" w:eastAsia="仿宋" w:cs="仿宋"/>
          <w:sz w:val="28"/>
          <w:szCs w:val="28"/>
          <w:highlight w:val="none"/>
        </w:rPr>
        <w:t>学员在通过全部课程考试和国家统考后，向东华大学研究生院提交同等学力人员申请硕士学位的申请。经审核通过后，进入学位论文撰写阶段。论文完成后，由东华大学组织专家进行论文评审和答辩。答辩通过者，经东华大学学位评定委员会审议批准，授予硕士学位，并颁发硕士学位证书。</w:t>
      </w:r>
    </w:p>
    <w:p w14:paraId="5ABA17F1">
      <w:pPr>
        <w:keepNext w:val="0"/>
        <w:keepLines w:val="0"/>
        <w:pageBreakBefore w:val="0"/>
        <w:kinsoku/>
        <w:wordWrap/>
        <w:overflowPunct/>
        <w:topLinePunct w:val="0"/>
        <w:autoSpaceDE/>
        <w:autoSpaceDN/>
        <w:bidi w:val="0"/>
        <w:adjustRightInd/>
        <w:snapToGrid/>
        <w:spacing w:before="78" w:beforeLines="25" w:line="40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五</w:t>
      </w:r>
      <w:r>
        <w:rPr>
          <w:rFonts w:hint="eastAsia" w:ascii="仿宋" w:hAnsi="仿宋" w:eastAsia="仿宋" w:cs="仿宋"/>
          <w:b/>
          <w:sz w:val="28"/>
          <w:szCs w:val="28"/>
          <w:highlight w:val="none"/>
        </w:rPr>
        <w:t>、相关证书</w:t>
      </w:r>
    </w:p>
    <w:p w14:paraId="34B6885B">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1.</w:t>
      </w:r>
      <w:r>
        <w:rPr>
          <w:rFonts w:hint="eastAsia" w:ascii="仿宋" w:hAnsi="仿宋" w:eastAsia="仿宋" w:cs="仿宋"/>
          <w:sz w:val="28"/>
          <w:szCs w:val="28"/>
          <w:highlight w:val="none"/>
        </w:rPr>
        <w:t>所有人员完成课程学习通过均可</w:t>
      </w:r>
      <w:r>
        <w:rPr>
          <w:rFonts w:hint="eastAsia" w:ascii="仿宋" w:hAnsi="仿宋" w:eastAsia="仿宋" w:cs="仿宋"/>
          <w:sz w:val="28"/>
          <w:szCs w:val="28"/>
          <w:highlight w:val="none"/>
          <w:lang w:eastAsia="zh-CN"/>
        </w:rPr>
        <w:t>获得</w:t>
      </w:r>
      <w:r>
        <w:rPr>
          <w:rFonts w:hint="eastAsia" w:ascii="仿宋" w:hAnsi="仿宋" w:eastAsia="仿宋" w:cs="仿宋"/>
          <w:sz w:val="28"/>
          <w:szCs w:val="28"/>
          <w:highlight w:val="none"/>
        </w:rPr>
        <w:t>注明“专业课程高阶研修班”字样的东华大学非学历教育结业证书。 </w:t>
      </w:r>
    </w:p>
    <w:p w14:paraId="66B85044">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2.</w:t>
      </w:r>
      <w:r>
        <w:rPr>
          <w:rFonts w:hint="eastAsia" w:ascii="仿宋" w:hAnsi="仿宋" w:eastAsia="仿宋" w:cs="仿宋"/>
          <w:sz w:val="28"/>
          <w:szCs w:val="28"/>
          <w:highlight w:val="none"/>
        </w:rPr>
        <w:t>符合硕士学位申请条件的学生可获得硕士学位证书。</w:t>
      </w:r>
    </w:p>
    <w:p w14:paraId="0A7FCBA0">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8"/>
          <w:szCs w:val="28"/>
          <w:highlight w:val="none"/>
        </w:rPr>
      </w:pPr>
    </w:p>
    <w:p w14:paraId="3729B002">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8"/>
          <w:szCs w:val="28"/>
          <w:highlight w:val="none"/>
        </w:rPr>
      </w:pPr>
    </w:p>
    <w:p w14:paraId="3B64AD2B">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8"/>
          <w:szCs w:val="28"/>
          <w:highlight w:val="none"/>
        </w:rPr>
      </w:pPr>
    </w:p>
    <w:p w14:paraId="38BD6107">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8"/>
          <w:szCs w:val="28"/>
          <w:highlight w:val="none"/>
        </w:rPr>
      </w:pPr>
    </w:p>
    <w:p w14:paraId="1F8243D0">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8"/>
          <w:szCs w:val="28"/>
          <w:highlight w:val="none"/>
        </w:rPr>
      </w:pPr>
    </w:p>
    <w:p w14:paraId="56FD275E">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8"/>
          <w:szCs w:val="28"/>
          <w:highlight w:val="none"/>
        </w:rPr>
      </w:pPr>
    </w:p>
    <w:p w14:paraId="3D2FEA65">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8"/>
          <w:szCs w:val="28"/>
          <w:highlight w:val="none"/>
        </w:rPr>
      </w:pPr>
    </w:p>
    <w:p w14:paraId="549D3685">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8"/>
          <w:szCs w:val="28"/>
          <w:highlight w:val="none"/>
        </w:rPr>
      </w:pPr>
    </w:p>
    <w:p w14:paraId="6A270D71">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drawing>
          <wp:anchor distT="0" distB="0" distL="114300" distR="114300" simplePos="0" relativeHeight="251659264" behindDoc="1" locked="0" layoutInCell="1" allowOverlap="1">
            <wp:simplePos x="0" y="0"/>
            <wp:positionH relativeFrom="column">
              <wp:posOffset>805815</wp:posOffset>
            </wp:positionH>
            <wp:positionV relativeFrom="paragraph">
              <wp:posOffset>-2630170</wp:posOffset>
            </wp:positionV>
            <wp:extent cx="4017010" cy="2914650"/>
            <wp:effectExtent l="0" t="0" r="8890" b="6350"/>
            <wp:wrapNone/>
            <wp:docPr id="2" name="图片 2" descr="df38dd04f1d6255af7e5fb494ecbaa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f38dd04f1d6255af7e5fb494ecbaa12"/>
                    <pic:cNvPicPr>
                      <a:picLocks noChangeAspect="1"/>
                    </pic:cNvPicPr>
                  </pic:nvPicPr>
                  <pic:blipFill>
                    <a:blip r:embed="rId6"/>
                    <a:stretch>
                      <a:fillRect/>
                    </a:stretch>
                  </pic:blipFill>
                  <pic:spPr>
                    <a:xfrm>
                      <a:off x="0" y="0"/>
                      <a:ext cx="4017010" cy="2914650"/>
                    </a:xfrm>
                    <a:prstGeom prst="rect">
                      <a:avLst/>
                    </a:prstGeom>
                  </pic:spPr>
                </pic:pic>
              </a:graphicData>
            </a:graphic>
          </wp:anchor>
        </w:drawing>
      </w:r>
    </w:p>
    <w:p w14:paraId="4E558A38">
      <w:pPr>
        <w:keepNext w:val="0"/>
        <w:keepLines w:val="0"/>
        <w:pageBreakBefore w:val="0"/>
        <w:kinsoku/>
        <w:wordWrap/>
        <w:overflowPunct/>
        <w:topLinePunct w:val="0"/>
        <w:autoSpaceDE/>
        <w:autoSpaceDN/>
        <w:bidi w:val="0"/>
        <w:adjustRightInd/>
        <w:snapToGrid/>
        <w:spacing w:before="78" w:beforeLines="25" w:line="40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六</w:t>
      </w:r>
      <w:r>
        <w:rPr>
          <w:rFonts w:hint="eastAsia" w:ascii="仿宋" w:hAnsi="仿宋" w:eastAsia="仿宋" w:cs="仿宋"/>
          <w:b/>
          <w:sz w:val="28"/>
          <w:szCs w:val="28"/>
          <w:highlight w:val="none"/>
        </w:rPr>
        <w:t>、费用标准</w:t>
      </w:r>
    </w:p>
    <w:p w14:paraId="2AD8DE87">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1.</w:t>
      </w:r>
      <w:r>
        <w:rPr>
          <w:rFonts w:hint="eastAsia" w:ascii="仿宋" w:hAnsi="仿宋" w:eastAsia="仿宋" w:cs="仿宋"/>
          <w:sz w:val="28"/>
          <w:szCs w:val="28"/>
          <w:highlight w:val="none"/>
        </w:rPr>
        <w:t>课程学费：共计39000元（设计学专业为49000元）。学费主要用于课程教学、教学管理等。（</w:t>
      </w:r>
      <w:r>
        <w:rPr>
          <w:rFonts w:hint="eastAsia" w:ascii="仿宋" w:hAnsi="仿宋" w:eastAsia="仿宋" w:cs="仿宋"/>
          <w:b/>
          <w:bCs/>
          <w:sz w:val="28"/>
          <w:szCs w:val="28"/>
          <w:highlight w:val="none"/>
        </w:rPr>
        <w:t>所有人员均需缴纳</w:t>
      </w:r>
      <w:r>
        <w:rPr>
          <w:rFonts w:hint="eastAsia" w:ascii="仿宋" w:hAnsi="仿宋" w:eastAsia="仿宋" w:cs="仿宋"/>
          <w:sz w:val="28"/>
          <w:szCs w:val="28"/>
          <w:highlight w:val="none"/>
        </w:rPr>
        <w:t>）</w:t>
      </w:r>
    </w:p>
    <w:p w14:paraId="42F8A640">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trike/>
          <w:color w:val="FF0000"/>
          <w:sz w:val="28"/>
          <w:szCs w:val="28"/>
          <w:highlight w:val="none"/>
        </w:rPr>
      </w:pPr>
      <w:r>
        <w:rPr>
          <w:rFonts w:hint="eastAsia" w:ascii="仿宋" w:hAnsi="仿宋" w:eastAsia="仿宋" w:cs="仿宋"/>
          <w:sz w:val="28"/>
          <w:szCs w:val="28"/>
          <w:highlight w:val="none"/>
          <w:lang w:eastAsia="zh-CN"/>
        </w:rPr>
        <w:t>2.</w:t>
      </w:r>
      <w:r>
        <w:rPr>
          <w:rFonts w:hint="eastAsia" w:ascii="仿宋" w:hAnsi="仿宋" w:eastAsia="仿宋" w:cs="仿宋"/>
          <w:sz w:val="28"/>
          <w:szCs w:val="28"/>
          <w:highlight w:val="none"/>
        </w:rPr>
        <w:t>论文指导与答辩费：若申请硕士学位，需在论文开题阶段缴纳论文指导与答辩费（以当年学校标准为准），用于论文指导教师的指导费用、论文评审费用和答辩组织费用等。</w:t>
      </w:r>
    </w:p>
    <w:p w14:paraId="5AFEEC77">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703C13E6">
      <w:pPr>
        <w:keepNext w:val="0"/>
        <w:keepLines w:val="0"/>
        <w:pageBreakBefore w:val="0"/>
        <w:kinsoku/>
        <w:wordWrap/>
        <w:overflowPunct/>
        <w:topLinePunct w:val="0"/>
        <w:autoSpaceDE/>
        <w:autoSpaceDN/>
        <w:bidi w:val="0"/>
        <w:adjustRightInd/>
        <w:snapToGrid/>
        <w:spacing w:before="78" w:beforeLines="25" w:line="560" w:lineRule="exact"/>
        <w:textAlignment w:val="auto"/>
        <w:rPr>
          <w:rFonts w:hint="default"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t>附件2：</w:t>
      </w:r>
    </w:p>
    <w:p w14:paraId="1223700F">
      <w:pPr>
        <w:keepNext w:val="0"/>
        <w:keepLines w:val="0"/>
        <w:pageBreakBefore w:val="0"/>
        <w:kinsoku/>
        <w:wordWrap/>
        <w:overflowPunct/>
        <w:topLinePunct w:val="0"/>
        <w:autoSpaceDE/>
        <w:autoSpaceDN/>
        <w:bidi w:val="0"/>
        <w:adjustRightInd/>
        <w:snapToGrid/>
        <w:spacing w:before="156" w:beforeLines="50" w:after="156" w:afterLines="50" w:line="560" w:lineRule="exact"/>
        <w:jc w:val="center"/>
        <w:textAlignment w:val="auto"/>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培养在职硕士报名表</w:t>
      </w:r>
    </w:p>
    <w:tbl>
      <w:tblPr>
        <w:tblStyle w:val="40"/>
        <w:tblW w:w="501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0" w:type="dxa"/>
        </w:tblCellMar>
      </w:tblPr>
      <w:tblGrid>
        <w:gridCol w:w="774"/>
        <w:gridCol w:w="799"/>
        <w:gridCol w:w="358"/>
        <w:gridCol w:w="774"/>
        <w:gridCol w:w="1547"/>
        <w:gridCol w:w="719"/>
        <w:gridCol w:w="1405"/>
        <w:gridCol w:w="705"/>
        <w:gridCol w:w="1881"/>
      </w:tblGrid>
      <w:tr w14:paraId="492E9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0" w:type="dxa"/>
          </w:tblCellMar>
        </w:tblPrEx>
        <w:trPr>
          <w:trHeight w:val="825" w:hRule="atLeast"/>
        </w:trPr>
        <w:tc>
          <w:tcPr>
            <w:tcW w:w="878" w:type="pct"/>
            <w:gridSpan w:val="2"/>
            <w:vAlign w:val="center"/>
          </w:tcPr>
          <w:p w14:paraId="00C3E286">
            <w:pPr>
              <w:pStyle w:val="39"/>
              <w:keepNext w:val="0"/>
              <w:keepLines w:val="0"/>
              <w:pageBreakBefore w:val="0"/>
              <w:widowControl w:val="0"/>
              <w:kinsoku/>
              <w:wordWrap/>
              <w:overflowPunct/>
              <w:topLinePunct w:val="0"/>
              <w:autoSpaceDE/>
              <w:autoSpaceDN/>
              <w:bidi w:val="0"/>
              <w:adjustRightInd/>
              <w:snapToGrid/>
              <w:spacing w:before="97"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单位名称</w:t>
            </w:r>
          </w:p>
        </w:tc>
        <w:tc>
          <w:tcPr>
            <w:tcW w:w="4122" w:type="pct"/>
            <w:gridSpan w:val="7"/>
            <w:vAlign w:val="center"/>
          </w:tcPr>
          <w:p w14:paraId="21F966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r>
      <w:tr w14:paraId="77E6B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0" w:type="dxa"/>
          </w:tblCellMar>
        </w:tblPrEx>
        <w:trPr>
          <w:trHeight w:val="798" w:hRule="atLeast"/>
        </w:trPr>
        <w:tc>
          <w:tcPr>
            <w:tcW w:w="878" w:type="pct"/>
            <w:gridSpan w:val="2"/>
            <w:vAlign w:val="center"/>
          </w:tcPr>
          <w:p w14:paraId="62E19C79">
            <w:pPr>
              <w:pStyle w:val="39"/>
              <w:keepNext w:val="0"/>
              <w:keepLines w:val="0"/>
              <w:pageBreakBefore w:val="0"/>
              <w:widowControl w:val="0"/>
              <w:kinsoku/>
              <w:wordWrap/>
              <w:overflowPunct/>
              <w:topLinePunct w:val="0"/>
              <w:autoSpaceDE/>
              <w:autoSpaceDN/>
              <w:bidi w:val="0"/>
              <w:adjustRightInd/>
              <w:snapToGrid/>
              <w:spacing w:before="93"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邮寄地址</w:t>
            </w:r>
          </w:p>
        </w:tc>
        <w:tc>
          <w:tcPr>
            <w:tcW w:w="4122" w:type="pct"/>
            <w:gridSpan w:val="7"/>
            <w:vAlign w:val="center"/>
          </w:tcPr>
          <w:p w14:paraId="47B4B78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r>
      <w:tr w14:paraId="3B0EF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0" w:type="dxa"/>
          </w:tblCellMar>
        </w:tblPrEx>
        <w:trPr>
          <w:trHeight w:val="900" w:hRule="atLeast"/>
        </w:trPr>
        <w:tc>
          <w:tcPr>
            <w:tcW w:w="878" w:type="pct"/>
            <w:gridSpan w:val="2"/>
            <w:vAlign w:val="center"/>
          </w:tcPr>
          <w:p w14:paraId="6A41CCF9">
            <w:pPr>
              <w:pStyle w:val="39"/>
              <w:keepNext w:val="0"/>
              <w:keepLines w:val="0"/>
              <w:pageBreakBefore w:val="0"/>
              <w:widowControl w:val="0"/>
              <w:kinsoku/>
              <w:wordWrap/>
              <w:overflowPunct/>
              <w:topLinePunct w:val="0"/>
              <w:autoSpaceDE/>
              <w:autoSpaceDN/>
              <w:bidi w:val="0"/>
              <w:adjustRightInd/>
              <w:snapToGrid/>
              <w:spacing w:before="91"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10"/>
                <w:sz w:val="28"/>
                <w:szCs w:val="28"/>
                <w:highlight w:val="none"/>
              </w:rPr>
              <w:t>邮</w:t>
            </w:r>
            <w:r>
              <w:rPr>
                <w:rFonts w:hint="eastAsia" w:ascii="仿宋" w:hAnsi="仿宋" w:eastAsia="仿宋" w:cs="仿宋"/>
                <w:spacing w:val="10"/>
                <w:sz w:val="28"/>
                <w:szCs w:val="28"/>
                <w:highlight w:val="none"/>
                <w:lang w:eastAsia="zh-CN"/>
              </w:rPr>
              <w:t xml:space="preserve">   </w:t>
            </w:r>
            <w:r>
              <w:rPr>
                <w:rFonts w:hint="eastAsia" w:ascii="仿宋" w:hAnsi="仿宋" w:eastAsia="仿宋" w:cs="仿宋"/>
                <w:color w:val="FFFFFF" w:themeColor="background1"/>
                <w:spacing w:val="10"/>
                <w:sz w:val="28"/>
                <w:szCs w:val="28"/>
                <w:highlight w:val="none"/>
                <w:lang w:eastAsia="zh-CN"/>
                <w14:textFill>
                  <w14:solidFill>
                    <w14:schemeClr w14:val="bg1"/>
                  </w14:solidFill>
                </w14:textFill>
              </w:rPr>
              <w:t>.</w:t>
            </w:r>
            <w:r>
              <w:rPr>
                <w:rFonts w:hint="eastAsia" w:ascii="仿宋" w:hAnsi="仿宋" w:eastAsia="仿宋" w:cs="仿宋"/>
                <w:spacing w:val="10"/>
                <w:sz w:val="28"/>
                <w:szCs w:val="28"/>
                <w:highlight w:val="none"/>
              </w:rPr>
              <w:t>编</w:t>
            </w:r>
          </w:p>
        </w:tc>
        <w:tc>
          <w:tcPr>
            <w:tcW w:w="4122" w:type="pct"/>
            <w:gridSpan w:val="7"/>
            <w:vAlign w:val="center"/>
          </w:tcPr>
          <w:p w14:paraId="4A4445E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r>
      <w:tr w14:paraId="71496D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0" w:type="dxa"/>
          </w:tblCellMar>
        </w:tblPrEx>
        <w:trPr>
          <w:trHeight w:val="788" w:hRule="atLeast"/>
        </w:trPr>
        <w:tc>
          <w:tcPr>
            <w:tcW w:w="5000" w:type="pct"/>
            <w:gridSpan w:val="9"/>
            <w:vAlign w:val="center"/>
          </w:tcPr>
          <w:p w14:paraId="02C46F35">
            <w:pPr>
              <w:pStyle w:val="39"/>
              <w:keepNext w:val="0"/>
              <w:keepLines w:val="0"/>
              <w:pageBreakBefore w:val="0"/>
              <w:widowControl w:val="0"/>
              <w:kinsoku/>
              <w:wordWrap/>
              <w:overflowPunct/>
              <w:topLinePunct w:val="0"/>
              <w:autoSpaceDE/>
              <w:autoSpaceDN/>
              <w:bidi w:val="0"/>
              <w:adjustRightInd/>
              <w:snapToGrid/>
              <w:spacing w:before="179"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lang w:eastAsia="zh-CN"/>
              </w:rPr>
              <w:t>报名</w:t>
            </w:r>
            <w:r>
              <w:rPr>
                <w:rFonts w:hint="eastAsia" w:ascii="仿宋" w:hAnsi="仿宋" w:eastAsia="仿宋" w:cs="仿宋"/>
                <w:spacing w:val="3"/>
                <w:sz w:val="28"/>
                <w:szCs w:val="28"/>
                <w:highlight w:val="none"/>
              </w:rPr>
              <w:t>人员信息</w:t>
            </w:r>
          </w:p>
        </w:tc>
      </w:tr>
      <w:tr w14:paraId="5ECE04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0" w:type="dxa"/>
          </w:tblCellMar>
        </w:tblPrEx>
        <w:trPr>
          <w:trHeight w:val="613" w:hRule="atLeast"/>
        </w:trPr>
        <w:tc>
          <w:tcPr>
            <w:tcW w:w="432" w:type="pct"/>
            <w:vAlign w:val="center"/>
          </w:tcPr>
          <w:p w14:paraId="73B6AC8D">
            <w:pPr>
              <w:pStyle w:val="39"/>
              <w:keepNext w:val="0"/>
              <w:keepLines w:val="0"/>
              <w:pageBreakBefore w:val="0"/>
              <w:widowControl w:val="0"/>
              <w:kinsoku/>
              <w:wordWrap/>
              <w:overflowPunct/>
              <w:topLinePunct w:val="0"/>
              <w:autoSpaceDE/>
              <w:autoSpaceDN/>
              <w:bidi w:val="0"/>
              <w:adjustRightInd/>
              <w:snapToGrid/>
              <w:spacing w:before="92"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18"/>
                <w:sz w:val="28"/>
                <w:szCs w:val="28"/>
                <w:highlight w:val="none"/>
              </w:rPr>
              <w:t>姓名</w:t>
            </w:r>
          </w:p>
        </w:tc>
        <w:tc>
          <w:tcPr>
            <w:tcW w:w="645" w:type="pct"/>
            <w:gridSpan w:val="2"/>
            <w:vAlign w:val="center"/>
          </w:tcPr>
          <w:p w14:paraId="56869E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c>
          <w:tcPr>
            <w:tcW w:w="432" w:type="pct"/>
            <w:vAlign w:val="center"/>
          </w:tcPr>
          <w:p w14:paraId="5335B52A">
            <w:pPr>
              <w:pStyle w:val="39"/>
              <w:keepNext w:val="0"/>
              <w:keepLines w:val="0"/>
              <w:pageBreakBefore w:val="0"/>
              <w:widowControl w:val="0"/>
              <w:kinsoku/>
              <w:wordWrap/>
              <w:overflowPunct/>
              <w:topLinePunct w:val="0"/>
              <w:autoSpaceDE/>
              <w:autoSpaceDN/>
              <w:bidi w:val="0"/>
              <w:adjustRightInd/>
              <w:snapToGrid/>
              <w:spacing w:before="92"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6"/>
                <w:sz w:val="28"/>
                <w:szCs w:val="28"/>
                <w:highlight w:val="none"/>
              </w:rPr>
              <w:t>职务</w:t>
            </w:r>
          </w:p>
        </w:tc>
        <w:tc>
          <w:tcPr>
            <w:tcW w:w="862" w:type="pct"/>
            <w:vAlign w:val="center"/>
          </w:tcPr>
          <w:p w14:paraId="77EF84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c>
          <w:tcPr>
            <w:tcW w:w="401" w:type="pct"/>
            <w:vAlign w:val="center"/>
          </w:tcPr>
          <w:p w14:paraId="0D737843">
            <w:pPr>
              <w:pStyle w:val="39"/>
              <w:keepNext w:val="0"/>
              <w:keepLines w:val="0"/>
              <w:pageBreakBefore w:val="0"/>
              <w:widowControl w:val="0"/>
              <w:kinsoku/>
              <w:wordWrap/>
              <w:overflowPunct/>
              <w:topLinePunct w:val="0"/>
              <w:autoSpaceDE/>
              <w:autoSpaceDN/>
              <w:bidi w:val="0"/>
              <w:adjustRightInd/>
              <w:snapToGrid/>
              <w:spacing w:before="90" w:line="400" w:lineRule="exact"/>
              <w:jc w:val="center"/>
              <w:textAlignment w:val="auto"/>
              <w:rPr>
                <w:rFonts w:hint="eastAsia" w:ascii="仿宋" w:hAnsi="仿宋" w:eastAsia="仿宋" w:cs="仿宋"/>
                <w:spacing w:val="5"/>
                <w:sz w:val="28"/>
                <w:szCs w:val="28"/>
                <w:highlight w:val="none"/>
                <w:lang w:eastAsia="zh-CN"/>
              </w:rPr>
            </w:pPr>
            <w:r>
              <w:rPr>
                <w:rFonts w:hint="eastAsia" w:ascii="仿宋" w:hAnsi="仿宋" w:eastAsia="仿宋" w:cs="仿宋"/>
                <w:spacing w:val="5"/>
                <w:sz w:val="28"/>
                <w:szCs w:val="28"/>
                <w:highlight w:val="none"/>
                <w:lang w:eastAsia="zh-CN"/>
              </w:rPr>
              <w:t>拟报学科</w:t>
            </w:r>
          </w:p>
        </w:tc>
        <w:tc>
          <w:tcPr>
            <w:tcW w:w="784" w:type="pct"/>
            <w:vAlign w:val="center"/>
          </w:tcPr>
          <w:p w14:paraId="5E1508F1">
            <w:pPr>
              <w:pStyle w:val="39"/>
              <w:keepNext w:val="0"/>
              <w:keepLines w:val="0"/>
              <w:pageBreakBefore w:val="0"/>
              <w:widowControl w:val="0"/>
              <w:kinsoku/>
              <w:wordWrap/>
              <w:overflowPunct/>
              <w:topLinePunct w:val="0"/>
              <w:autoSpaceDE/>
              <w:autoSpaceDN/>
              <w:bidi w:val="0"/>
              <w:adjustRightInd/>
              <w:snapToGrid/>
              <w:spacing w:before="90" w:line="240" w:lineRule="auto"/>
              <w:jc w:val="center"/>
              <w:textAlignment w:val="auto"/>
              <w:rPr>
                <w:rFonts w:hint="eastAsia" w:ascii="仿宋" w:hAnsi="仿宋" w:eastAsia="仿宋" w:cs="仿宋"/>
                <w:spacing w:val="5"/>
                <w:sz w:val="28"/>
                <w:szCs w:val="28"/>
                <w:highlight w:val="none"/>
              </w:rPr>
            </w:pPr>
          </w:p>
        </w:tc>
        <w:tc>
          <w:tcPr>
            <w:tcW w:w="393" w:type="pct"/>
            <w:vAlign w:val="center"/>
          </w:tcPr>
          <w:p w14:paraId="5129B8B0">
            <w:pPr>
              <w:pStyle w:val="39"/>
              <w:keepNext w:val="0"/>
              <w:keepLines w:val="0"/>
              <w:pageBreakBefore w:val="0"/>
              <w:widowControl w:val="0"/>
              <w:kinsoku/>
              <w:wordWrap/>
              <w:overflowPunct/>
              <w:topLinePunct w:val="0"/>
              <w:autoSpaceDE/>
              <w:autoSpaceDN/>
              <w:bidi w:val="0"/>
              <w:adjustRightInd/>
              <w:snapToGrid/>
              <w:spacing w:before="90"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5"/>
                <w:sz w:val="28"/>
                <w:szCs w:val="28"/>
                <w:highlight w:val="none"/>
              </w:rPr>
              <w:t>手机</w:t>
            </w:r>
          </w:p>
        </w:tc>
        <w:tc>
          <w:tcPr>
            <w:tcW w:w="1049" w:type="pct"/>
            <w:vAlign w:val="center"/>
          </w:tcPr>
          <w:p w14:paraId="462F3E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r>
      <w:tr w14:paraId="38532F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0" w:type="dxa"/>
          </w:tblCellMar>
        </w:tblPrEx>
        <w:trPr>
          <w:trHeight w:val="599" w:hRule="atLeast"/>
        </w:trPr>
        <w:tc>
          <w:tcPr>
            <w:tcW w:w="432" w:type="pct"/>
            <w:vAlign w:val="center"/>
          </w:tcPr>
          <w:p w14:paraId="5883996D">
            <w:pPr>
              <w:pStyle w:val="39"/>
              <w:keepNext w:val="0"/>
              <w:keepLines w:val="0"/>
              <w:pageBreakBefore w:val="0"/>
              <w:widowControl w:val="0"/>
              <w:kinsoku/>
              <w:wordWrap/>
              <w:overflowPunct/>
              <w:topLinePunct w:val="0"/>
              <w:autoSpaceDE/>
              <w:autoSpaceDN/>
              <w:bidi w:val="0"/>
              <w:adjustRightInd/>
              <w:snapToGrid/>
              <w:spacing w:before="82"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18"/>
                <w:sz w:val="28"/>
                <w:szCs w:val="28"/>
                <w:highlight w:val="none"/>
              </w:rPr>
              <w:t>姓名</w:t>
            </w:r>
          </w:p>
        </w:tc>
        <w:tc>
          <w:tcPr>
            <w:tcW w:w="645" w:type="pct"/>
            <w:gridSpan w:val="2"/>
            <w:vAlign w:val="center"/>
          </w:tcPr>
          <w:p w14:paraId="1CA414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c>
          <w:tcPr>
            <w:tcW w:w="432" w:type="pct"/>
            <w:vAlign w:val="center"/>
          </w:tcPr>
          <w:p w14:paraId="7FF3BE13">
            <w:pPr>
              <w:pStyle w:val="39"/>
              <w:keepNext w:val="0"/>
              <w:keepLines w:val="0"/>
              <w:pageBreakBefore w:val="0"/>
              <w:widowControl w:val="0"/>
              <w:kinsoku/>
              <w:wordWrap/>
              <w:overflowPunct/>
              <w:topLinePunct w:val="0"/>
              <w:autoSpaceDE/>
              <w:autoSpaceDN/>
              <w:bidi w:val="0"/>
              <w:adjustRightInd/>
              <w:snapToGrid/>
              <w:spacing w:before="82"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6"/>
                <w:sz w:val="28"/>
                <w:szCs w:val="28"/>
                <w:highlight w:val="none"/>
              </w:rPr>
              <w:t>职务</w:t>
            </w:r>
          </w:p>
        </w:tc>
        <w:tc>
          <w:tcPr>
            <w:tcW w:w="862" w:type="pct"/>
            <w:vAlign w:val="center"/>
          </w:tcPr>
          <w:p w14:paraId="4C05DC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c>
          <w:tcPr>
            <w:tcW w:w="401" w:type="pct"/>
            <w:vAlign w:val="center"/>
          </w:tcPr>
          <w:p w14:paraId="4DD3127B">
            <w:pPr>
              <w:pStyle w:val="39"/>
              <w:keepNext w:val="0"/>
              <w:keepLines w:val="0"/>
              <w:pageBreakBefore w:val="0"/>
              <w:widowControl w:val="0"/>
              <w:kinsoku/>
              <w:wordWrap/>
              <w:overflowPunct/>
              <w:topLinePunct w:val="0"/>
              <w:autoSpaceDE/>
              <w:autoSpaceDN/>
              <w:bidi w:val="0"/>
              <w:adjustRightInd/>
              <w:snapToGrid/>
              <w:spacing w:before="80" w:line="400" w:lineRule="exact"/>
              <w:jc w:val="center"/>
              <w:textAlignment w:val="auto"/>
              <w:rPr>
                <w:rFonts w:hint="eastAsia" w:ascii="仿宋" w:hAnsi="仿宋" w:eastAsia="仿宋" w:cs="仿宋"/>
                <w:spacing w:val="5"/>
                <w:sz w:val="28"/>
                <w:szCs w:val="28"/>
                <w:highlight w:val="none"/>
                <w:lang w:eastAsia="zh-CN"/>
              </w:rPr>
            </w:pPr>
            <w:r>
              <w:rPr>
                <w:rFonts w:hint="eastAsia" w:ascii="仿宋" w:hAnsi="仿宋" w:eastAsia="仿宋" w:cs="仿宋"/>
                <w:spacing w:val="5"/>
                <w:sz w:val="28"/>
                <w:szCs w:val="28"/>
                <w:highlight w:val="none"/>
                <w:lang w:eastAsia="zh-CN"/>
              </w:rPr>
              <w:t>拟报学科</w:t>
            </w:r>
          </w:p>
        </w:tc>
        <w:tc>
          <w:tcPr>
            <w:tcW w:w="784" w:type="pct"/>
            <w:vAlign w:val="center"/>
          </w:tcPr>
          <w:p w14:paraId="387C1999">
            <w:pPr>
              <w:pStyle w:val="39"/>
              <w:keepNext w:val="0"/>
              <w:keepLines w:val="0"/>
              <w:pageBreakBefore w:val="0"/>
              <w:widowControl w:val="0"/>
              <w:kinsoku/>
              <w:wordWrap/>
              <w:overflowPunct/>
              <w:topLinePunct w:val="0"/>
              <w:autoSpaceDE/>
              <w:autoSpaceDN/>
              <w:bidi w:val="0"/>
              <w:adjustRightInd/>
              <w:snapToGrid/>
              <w:spacing w:before="80" w:line="240" w:lineRule="auto"/>
              <w:jc w:val="center"/>
              <w:textAlignment w:val="auto"/>
              <w:rPr>
                <w:rFonts w:hint="eastAsia" w:ascii="仿宋" w:hAnsi="仿宋" w:eastAsia="仿宋" w:cs="仿宋"/>
                <w:spacing w:val="5"/>
                <w:sz w:val="28"/>
                <w:szCs w:val="28"/>
                <w:highlight w:val="none"/>
              </w:rPr>
            </w:pPr>
          </w:p>
        </w:tc>
        <w:tc>
          <w:tcPr>
            <w:tcW w:w="393" w:type="pct"/>
            <w:vAlign w:val="center"/>
          </w:tcPr>
          <w:p w14:paraId="09441491">
            <w:pPr>
              <w:pStyle w:val="39"/>
              <w:keepNext w:val="0"/>
              <w:keepLines w:val="0"/>
              <w:pageBreakBefore w:val="0"/>
              <w:widowControl w:val="0"/>
              <w:kinsoku/>
              <w:wordWrap/>
              <w:overflowPunct/>
              <w:topLinePunct w:val="0"/>
              <w:autoSpaceDE/>
              <w:autoSpaceDN/>
              <w:bidi w:val="0"/>
              <w:adjustRightInd/>
              <w:snapToGrid/>
              <w:spacing w:before="80"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5"/>
                <w:sz w:val="28"/>
                <w:szCs w:val="28"/>
                <w:highlight w:val="none"/>
              </w:rPr>
              <w:t>手机</w:t>
            </w:r>
          </w:p>
        </w:tc>
        <w:tc>
          <w:tcPr>
            <w:tcW w:w="1049" w:type="pct"/>
            <w:vAlign w:val="center"/>
          </w:tcPr>
          <w:p w14:paraId="07CB6C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r>
      <w:tr w14:paraId="1A76BE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0" w:type="dxa"/>
          </w:tblCellMar>
        </w:tblPrEx>
        <w:trPr>
          <w:trHeight w:val="599" w:hRule="atLeast"/>
        </w:trPr>
        <w:tc>
          <w:tcPr>
            <w:tcW w:w="432" w:type="pct"/>
            <w:vAlign w:val="center"/>
          </w:tcPr>
          <w:p w14:paraId="490FCA6E">
            <w:pPr>
              <w:pStyle w:val="39"/>
              <w:keepNext w:val="0"/>
              <w:keepLines w:val="0"/>
              <w:pageBreakBefore w:val="0"/>
              <w:widowControl w:val="0"/>
              <w:kinsoku/>
              <w:wordWrap/>
              <w:overflowPunct/>
              <w:topLinePunct w:val="0"/>
              <w:autoSpaceDE/>
              <w:autoSpaceDN/>
              <w:bidi w:val="0"/>
              <w:adjustRightInd/>
              <w:snapToGrid/>
              <w:spacing w:before="83"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18"/>
                <w:sz w:val="28"/>
                <w:szCs w:val="28"/>
                <w:highlight w:val="none"/>
              </w:rPr>
              <w:t>姓名</w:t>
            </w:r>
          </w:p>
        </w:tc>
        <w:tc>
          <w:tcPr>
            <w:tcW w:w="645" w:type="pct"/>
            <w:gridSpan w:val="2"/>
            <w:vAlign w:val="center"/>
          </w:tcPr>
          <w:p w14:paraId="056DCC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c>
          <w:tcPr>
            <w:tcW w:w="432" w:type="pct"/>
            <w:vAlign w:val="center"/>
          </w:tcPr>
          <w:p w14:paraId="799DDE25">
            <w:pPr>
              <w:pStyle w:val="39"/>
              <w:keepNext w:val="0"/>
              <w:keepLines w:val="0"/>
              <w:pageBreakBefore w:val="0"/>
              <w:widowControl w:val="0"/>
              <w:kinsoku/>
              <w:wordWrap/>
              <w:overflowPunct/>
              <w:topLinePunct w:val="0"/>
              <w:autoSpaceDE/>
              <w:autoSpaceDN/>
              <w:bidi w:val="0"/>
              <w:adjustRightInd/>
              <w:snapToGrid/>
              <w:spacing w:before="83"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6"/>
                <w:sz w:val="28"/>
                <w:szCs w:val="28"/>
                <w:highlight w:val="none"/>
              </w:rPr>
              <w:t>职务</w:t>
            </w:r>
          </w:p>
        </w:tc>
        <w:tc>
          <w:tcPr>
            <w:tcW w:w="862" w:type="pct"/>
            <w:vAlign w:val="center"/>
          </w:tcPr>
          <w:p w14:paraId="475E53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c>
          <w:tcPr>
            <w:tcW w:w="401" w:type="pct"/>
            <w:vAlign w:val="center"/>
          </w:tcPr>
          <w:p w14:paraId="5F5A5668">
            <w:pPr>
              <w:pStyle w:val="39"/>
              <w:keepNext w:val="0"/>
              <w:keepLines w:val="0"/>
              <w:pageBreakBefore w:val="0"/>
              <w:widowControl w:val="0"/>
              <w:kinsoku/>
              <w:wordWrap/>
              <w:overflowPunct/>
              <w:topLinePunct w:val="0"/>
              <w:autoSpaceDE/>
              <w:autoSpaceDN/>
              <w:bidi w:val="0"/>
              <w:adjustRightInd/>
              <w:snapToGrid/>
              <w:spacing w:before="81" w:line="400" w:lineRule="exact"/>
              <w:jc w:val="center"/>
              <w:textAlignment w:val="auto"/>
              <w:rPr>
                <w:rFonts w:hint="eastAsia" w:ascii="仿宋" w:hAnsi="仿宋" w:eastAsia="仿宋" w:cs="仿宋"/>
                <w:spacing w:val="5"/>
                <w:sz w:val="28"/>
                <w:szCs w:val="28"/>
                <w:highlight w:val="none"/>
                <w:lang w:eastAsia="zh-CN"/>
              </w:rPr>
            </w:pPr>
            <w:r>
              <w:rPr>
                <w:rFonts w:hint="eastAsia" w:ascii="仿宋" w:hAnsi="仿宋" w:eastAsia="仿宋" w:cs="仿宋"/>
                <w:spacing w:val="5"/>
                <w:sz w:val="28"/>
                <w:szCs w:val="28"/>
                <w:highlight w:val="none"/>
                <w:lang w:eastAsia="zh-CN"/>
              </w:rPr>
              <w:t>拟报学科</w:t>
            </w:r>
          </w:p>
        </w:tc>
        <w:tc>
          <w:tcPr>
            <w:tcW w:w="784" w:type="pct"/>
            <w:vAlign w:val="center"/>
          </w:tcPr>
          <w:p w14:paraId="4900FAB3">
            <w:pPr>
              <w:pStyle w:val="39"/>
              <w:keepNext w:val="0"/>
              <w:keepLines w:val="0"/>
              <w:pageBreakBefore w:val="0"/>
              <w:widowControl w:val="0"/>
              <w:kinsoku/>
              <w:wordWrap/>
              <w:overflowPunct/>
              <w:topLinePunct w:val="0"/>
              <w:autoSpaceDE/>
              <w:autoSpaceDN/>
              <w:bidi w:val="0"/>
              <w:adjustRightInd/>
              <w:snapToGrid/>
              <w:spacing w:before="81" w:line="240" w:lineRule="auto"/>
              <w:jc w:val="center"/>
              <w:textAlignment w:val="auto"/>
              <w:rPr>
                <w:rFonts w:hint="eastAsia" w:ascii="仿宋" w:hAnsi="仿宋" w:eastAsia="仿宋" w:cs="仿宋"/>
                <w:spacing w:val="5"/>
                <w:sz w:val="28"/>
                <w:szCs w:val="28"/>
                <w:highlight w:val="none"/>
              </w:rPr>
            </w:pPr>
          </w:p>
        </w:tc>
        <w:tc>
          <w:tcPr>
            <w:tcW w:w="393" w:type="pct"/>
            <w:vAlign w:val="center"/>
          </w:tcPr>
          <w:p w14:paraId="389F88AF">
            <w:pPr>
              <w:pStyle w:val="39"/>
              <w:keepNext w:val="0"/>
              <w:keepLines w:val="0"/>
              <w:pageBreakBefore w:val="0"/>
              <w:widowControl w:val="0"/>
              <w:kinsoku/>
              <w:wordWrap/>
              <w:overflowPunct/>
              <w:topLinePunct w:val="0"/>
              <w:autoSpaceDE/>
              <w:autoSpaceDN/>
              <w:bidi w:val="0"/>
              <w:adjustRightInd/>
              <w:snapToGrid/>
              <w:spacing w:before="81"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pacing w:val="5"/>
                <w:sz w:val="28"/>
                <w:szCs w:val="28"/>
                <w:highlight w:val="none"/>
              </w:rPr>
              <w:t>手机</w:t>
            </w:r>
          </w:p>
        </w:tc>
        <w:tc>
          <w:tcPr>
            <w:tcW w:w="1049" w:type="pct"/>
            <w:vAlign w:val="center"/>
          </w:tcPr>
          <w:p w14:paraId="793210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r>
      <w:tr w14:paraId="63855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0" w:type="dxa"/>
          </w:tblCellMar>
        </w:tblPrEx>
        <w:trPr>
          <w:trHeight w:val="849" w:hRule="atLeast"/>
        </w:trPr>
        <w:tc>
          <w:tcPr>
            <w:tcW w:w="1078" w:type="pct"/>
            <w:gridSpan w:val="3"/>
            <w:vAlign w:val="center"/>
          </w:tcPr>
          <w:p w14:paraId="3354AB3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单位联系人</w:t>
            </w:r>
          </w:p>
        </w:tc>
        <w:tc>
          <w:tcPr>
            <w:tcW w:w="1295" w:type="pct"/>
            <w:gridSpan w:val="2"/>
            <w:vAlign w:val="center"/>
          </w:tcPr>
          <w:p w14:paraId="0B0CCE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c>
          <w:tcPr>
            <w:tcW w:w="1184" w:type="pct"/>
            <w:gridSpan w:val="2"/>
            <w:vAlign w:val="center"/>
          </w:tcPr>
          <w:p w14:paraId="53FED9F0">
            <w:pPr>
              <w:pStyle w:val="39"/>
              <w:keepNext w:val="0"/>
              <w:keepLines w:val="0"/>
              <w:pageBreakBefore w:val="0"/>
              <w:widowControl w:val="0"/>
              <w:kinsoku/>
              <w:wordWrap/>
              <w:overflowPunct/>
              <w:topLinePunct w:val="0"/>
              <w:autoSpaceDE/>
              <w:autoSpaceDN/>
              <w:bidi w:val="0"/>
              <w:adjustRightInd/>
              <w:snapToGrid/>
              <w:spacing w:before="81" w:line="240" w:lineRule="auto"/>
              <w:jc w:val="center"/>
              <w:textAlignment w:val="auto"/>
              <w:rPr>
                <w:rFonts w:hint="eastAsia" w:ascii="仿宋" w:hAnsi="仿宋" w:eastAsia="仿宋" w:cs="仿宋"/>
                <w:spacing w:val="5"/>
                <w:sz w:val="28"/>
                <w:szCs w:val="28"/>
                <w:highlight w:val="none"/>
              </w:rPr>
            </w:pPr>
            <w:r>
              <w:rPr>
                <w:rFonts w:hint="eastAsia" w:ascii="仿宋" w:hAnsi="仿宋" w:eastAsia="仿宋" w:cs="仿宋"/>
                <w:spacing w:val="5"/>
                <w:sz w:val="28"/>
                <w:szCs w:val="28"/>
                <w:highlight w:val="none"/>
                <w:lang w:eastAsia="zh-CN"/>
              </w:rPr>
              <w:t>联系方式</w:t>
            </w:r>
          </w:p>
        </w:tc>
        <w:tc>
          <w:tcPr>
            <w:tcW w:w="1442" w:type="pct"/>
            <w:gridSpan w:val="2"/>
            <w:vAlign w:val="center"/>
          </w:tcPr>
          <w:p w14:paraId="0D167D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highlight w:val="none"/>
              </w:rPr>
            </w:pPr>
          </w:p>
        </w:tc>
      </w:tr>
    </w:tbl>
    <w:p w14:paraId="1D5DF6F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FF0000"/>
          <w:sz w:val="28"/>
          <w:szCs w:val="28"/>
          <w:highlight w:val="none"/>
          <w:lang w:val="en-US" w:eastAsia="zh-CN"/>
        </w:rPr>
      </w:pPr>
      <w:r>
        <w:rPr>
          <w:rFonts w:hint="eastAsia" w:ascii="仿宋" w:hAnsi="仿宋" w:eastAsia="仿宋" w:cs="仿宋"/>
          <w:sz w:val="28"/>
          <w:szCs w:val="28"/>
          <w:highlight w:val="none"/>
          <w:lang w:val="en-US" w:eastAsia="zh-CN"/>
        </w:rPr>
        <w:t>备注：</w:t>
      </w:r>
      <w:r>
        <w:rPr>
          <w:rFonts w:hint="eastAsia" w:ascii="仿宋" w:hAnsi="仿宋" w:eastAsia="仿宋" w:cs="仿宋"/>
          <w:sz w:val="28"/>
          <w:szCs w:val="28"/>
          <w:highlight w:val="none"/>
        </w:rPr>
        <w:t>报名截止时间：2026年9月</w:t>
      </w:r>
      <w:r>
        <w:rPr>
          <w:rFonts w:hint="eastAsia" w:ascii="仿宋" w:hAnsi="仿宋" w:eastAsia="仿宋" w:cs="仿宋"/>
          <w:sz w:val="28"/>
          <w:szCs w:val="28"/>
          <w:highlight w:val="none"/>
          <w:lang w:val="en-US" w:eastAsia="zh-CN"/>
        </w:rPr>
        <w:t>12</w:t>
      </w:r>
      <w:r>
        <w:rPr>
          <w:rFonts w:hint="eastAsia" w:ascii="仿宋" w:hAnsi="仿宋" w:eastAsia="仿宋" w:cs="仿宋"/>
          <w:sz w:val="28"/>
          <w:szCs w:val="28"/>
          <w:highlight w:val="none"/>
        </w:rPr>
        <w:t>日</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报名表发送至</w:t>
      </w:r>
      <w:r>
        <w:rPr>
          <w:rFonts w:hint="eastAsia" w:ascii="仿宋" w:hAnsi="仿宋" w:eastAsia="仿宋" w:cs="仿宋"/>
          <w:sz w:val="28"/>
          <w:szCs w:val="28"/>
          <w:highlight w:val="none"/>
          <w:lang w:val="en-US" w:eastAsia="zh-CN"/>
        </w:rPr>
        <w:t>ckia@163.com。</w:t>
      </w:r>
    </w:p>
    <w:p w14:paraId="06105FE9">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bookmarkStart w:id="0" w:name="_GoBack"/>
      <w:bookmarkEnd w:id="0"/>
    </w:p>
    <w:p w14:paraId="34E57DD6">
      <w:pPr>
        <w:rPr>
          <w:rFonts w:hint="eastAsia" w:ascii="仿宋" w:hAnsi="仿宋" w:eastAsia="仿宋"/>
          <w:spacing w:val="-1"/>
          <w:sz w:val="32"/>
          <w:szCs w:val="32"/>
        </w:rPr>
      </w:pPr>
    </w:p>
    <w:p w14:paraId="761A06B3">
      <w:pPr>
        <w:rPr>
          <w:rFonts w:hint="eastAsia" w:ascii="仿宋" w:hAnsi="仿宋" w:eastAsia="仿宋"/>
          <w:spacing w:val="-1"/>
          <w:sz w:val="32"/>
          <w:szCs w:val="32"/>
        </w:rPr>
      </w:pPr>
    </w:p>
    <w:p w14:paraId="2389AB72">
      <w:pPr>
        <w:rPr>
          <w:rFonts w:hint="eastAsia" w:ascii="仿宋" w:hAnsi="仿宋" w:eastAsia="仿宋"/>
          <w:spacing w:val="-1"/>
          <w:sz w:val="32"/>
          <w:szCs w:val="32"/>
        </w:rPr>
      </w:pPr>
    </w:p>
    <w:p w14:paraId="7B675E66">
      <w:pPr>
        <w:rPr>
          <w:rFonts w:hint="eastAsia" w:ascii="仿宋" w:hAnsi="仿宋" w:eastAsia="仿宋"/>
          <w:spacing w:val="-1"/>
          <w:sz w:val="32"/>
          <w:szCs w:val="32"/>
        </w:rPr>
      </w:pPr>
    </w:p>
    <w:p w14:paraId="640E6D8B">
      <w:pPr>
        <w:rPr>
          <w:rFonts w:hint="eastAsia" w:ascii="仿宋" w:hAnsi="仿宋" w:eastAsia="仿宋"/>
          <w:spacing w:val="-1"/>
          <w:sz w:val="32"/>
          <w:szCs w:val="32"/>
        </w:rPr>
      </w:pPr>
    </w:p>
    <w:p w14:paraId="341E67A7">
      <w:pPr>
        <w:rPr>
          <w:rFonts w:hint="eastAsia" w:ascii="仿宋" w:hAnsi="仿宋" w:eastAsia="仿宋"/>
          <w:spacing w:val="-1"/>
          <w:sz w:val="32"/>
          <w:szCs w:val="32"/>
        </w:rPr>
      </w:pPr>
    </w:p>
    <w:p w14:paraId="60DC5F27">
      <w:pPr>
        <w:rPr>
          <w:rFonts w:hint="eastAsia" w:ascii="仿宋" w:hAnsi="仿宋" w:eastAsia="仿宋"/>
          <w:spacing w:val="-1"/>
          <w:sz w:val="32"/>
          <w:szCs w:val="32"/>
        </w:rPr>
      </w:pPr>
    </w:p>
    <w:p w14:paraId="617D4A5D">
      <w:pPr>
        <w:rPr>
          <w:rFonts w:hint="eastAsia" w:ascii="仿宋" w:hAnsi="仿宋" w:eastAsia="仿宋"/>
          <w:spacing w:val="-1"/>
          <w:sz w:val="32"/>
          <w:szCs w:val="32"/>
        </w:rPr>
      </w:pPr>
    </w:p>
    <w:sectPr>
      <w:pgSz w:w="11906" w:h="16838"/>
      <w:pgMar w:top="1134" w:right="1519" w:bottom="1134"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1" w:fontKey="{27554A46-D703-46C2-A0AF-0C293541200E}"/>
  </w:font>
  <w:font w:name="方正小标宋简体">
    <w:panose1 w:val="02000000000000000000"/>
    <w:charset w:val="86"/>
    <w:family w:val="auto"/>
    <w:pitch w:val="default"/>
    <w:sig w:usb0="00000001" w:usb1="08000000" w:usb2="00000000" w:usb3="00000000" w:csb0="00040000" w:csb1="00000000"/>
    <w:embedRegular r:id="rId2" w:fontKey="{EAEB0983-ADD3-46AE-97AF-2FE212F8B63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3B062D"/>
    <w:multiLevelType w:val="singleLevel"/>
    <w:tmpl w:val="413B062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2CC"/>
    <w:rsid w:val="006322CC"/>
    <w:rsid w:val="009A315A"/>
    <w:rsid w:val="00A669F5"/>
    <w:rsid w:val="00E62D7F"/>
    <w:rsid w:val="02454626"/>
    <w:rsid w:val="03697E21"/>
    <w:rsid w:val="30191A45"/>
    <w:rsid w:val="402F62DA"/>
    <w:rsid w:val="6E7367BB"/>
    <w:rsid w:val="7B440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Calibri" w:hAnsi="Calibri" w:eastAsia="宋体" w:cs="宋体"/>
      <w:kern w:val="2"/>
      <w:sz w:val="21"/>
      <w:szCs w:val="22"/>
      <w:lang w:val="en-US" w:eastAsia="zh-CN" w:bidi="ar-SA"/>
      <w14:ligatures w14:val="none"/>
    </w:rPr>
  </w:style>
  <w:style w:type="paragraph" w:styleId="2">
    <w:name w:val="heading 1"/>
    <w:basedOn w:val="1"/>
    <w:next w:val="1"/>
    <w:link w:val="19"/>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3">
    <w:name w:val="heading 2"/>
    <w:basedOn w:val="1"/>
    <w:next w:val="1"/>
    <w:link w:val="20"/>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4">
    <w:name w:val="heading 3"/>
    <w:basedOn w:val="1"/>
    <w:next w:val="1"/>
    <w:link w:val="21"/>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5">
    <w:name w:val="heading 4"/>
    <w:basedOn w:val="1"/>
    <w:next w:val="1"/>
    <w:link w:val="22"/>
    <w:semiHidden/>
    <w:unhideWhenUsed/>
    <w:qFormat/>
    <w:uiPriority w:val="9"/>
    <w:pPr>
      <w:keepNext/>
      <w:keepLines/>
      <w:spacing w:before="80" w:after="40" w:line="278" w:lineRule="auto"/>
      <w:jc w:val="left"/>
      <w:outlineLvl w:val="3"/>
    </w:pPr>
    <w:rPr>
      <w:rFonts w:asciiTheme="minorHAnsi" w:hAnsiTheme="minorHAnsi" w:eastAsiaTheme="minorEastAsia" w:cstheme="majorBidi"/>
      <w:color w:val="2F5597" w:themeColor="accent1" w:themeShade="BF"/>
      <w:sz w:val="28"/>
      <w:szCs w:val="28"/>
      <w14:ligatures w14:val="standardContextual"/>
    </w:rPr>
  </w:style>
  <w:style w:type="paragraph" w:styleId="6">
    <w:name w:val="heading 5"/>
    <w:basedOn w:val="1"/>
    <w:next w:val="1"/>
    <w:link w:val="23"/>
    <w:semiHidden/>
    <w:unhideWhenUsed/>
    <w:qFormat/>
    <w:uiPriority w:val="9"/>
    <w:pPr>
      <w:keepNext/>
      <w:keepLines/>
      <w:spacing w:before="80" w:after="40" w:line="278" w:lineRule="auto"/>
      <w:jc w:val="left"/>
      <w:outlineLvl w:val="4"/>
    </w:pPr>
    <w:rPr>
      <w:rFonts w:asciiTheme="minorHAnsi" w:hAnsiTheme="minorHAnsi" w:eastAsiaTheme="minorEastAsia" w:cstheme="majorBidi"/>
      <w:color w:val="2F5597" w:themeColor="accent1" w:themeShade="BF"/>
      <w:sz w:val="24"/>
      <w:szCs w:val="24"/>
      <w14:ligatures w14:val="standardContextual"/>
    </w:rPr>
  </w:style>
  <w:style w:type="paragraph" w:styleId="7">
    <w:name w:val="heading 6"/>
    <w:basedOn w:val="1"/>
    <w:next w:val="1"/>
    <w:link w:val="24"/>
    <w:semiHidden/>
    <w:unhideWhenUsed/>
    <w:qFormat/>
    <w:uiPriority w:val="9"/>
    <w:pPr>
      <w:keepNext/>
      <w:keepLines/>
      <w:spacing w:before="40" w:line="278" w:lineRule="auto"/>
      <w:jc w:val="left"/>
      <w:outlineLvl w:val="5"/>
    </w:pPr>
    <w:rPr>
      <w:rFonts w:asciiTheme="minorHAnsi" w:hAnsiTheme="minorHAnsi" w:eastAsiaTheme="minorEastAsia" w:cstheme="majorBidi"/>
      <w:b/>
      <w:bCs/>
      <w:color w:val="2F5597" w:themeColor="accent1" w:themeShade="BF"/>
      <w:sz w:val="22"/>
      <w:szCs w:val="24"/>
      <w14:ligatures w14:val="standardContextual"/>
    </w:rPr>
  </w:style>
  <w:style w:type="paragraph" w:styleId="8">
    <w:name w:val="heading 7"/>
    <w:basedOn w:val="1"/>
    <w:next w:val="1"/>
    <w:link w:val="25"/>
    <w:semiHidden/>
    <w:unhideWhenUsed/>
    <w:qFormat/>
    <w:uiPriority w:val="9"/>
    <w:pPr>
      <w:keepNext/>
      <w:keepLines/>
      <w:spacing w:before="40" w:line="278" w:lineRule="auto"/>
      <w:jc w:val="left"/>
      <w:outlineLvl w:val="6"/>
    </w:pPr>
    <w:rPr>
      <w:rFonts w:asciiTheme="minorHAnsi" w:hAnsiTheme="minorHAnsi" w:eastAsiaTheme="minorEastAsia" w:cstheme="majorBidi"/>
      <w:b/>
      <w:bCs/>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9">
    <w:name w:val="heading 8"/>
    <w:basedOn w:val="1"/>
    <w:next w:val="1"/>
    <w:link w:val="26"/>
    <w:semiHidden/>
    <w:unhideWhenUsed/>
    <w:qFormat/>
    <w:uiPriority w:val="9"/>
    <w:pPr>
      <w:keepNext/>
      <w:keepLines/>
      <w:spacing w:line="278" w:lineRule="auto"/>
      <w:jc w:val="left"/>
      <w:outlineLvl w:val="7"/>
    </w:pPr>
    <w:rPr>
      <w:rFonts w:asciiTheme="minorHAnsi" w:hAnsiTheme="minorHAnsi" w:eastAsiaTheme="min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10">
    <w:name w:val="heading 9"/>
    <w:basedOn w:val="1"/>
    <w:next w:val="1"/>
    <w:link w:val="27"/>
    <w:semiHidden/>
    <w:unhideWhenUsed/>
    <w:qFormat/>
    <w:uiPriority w:val="9"/>
    <w:pPr>
      <w:keepNext/>
      <w:keepLines/>
      <w:spacing w:line="278" w:lineRule="auto"/>
      <w:jc w:val="left"/>
      <w:outlineLvl w:val="8"/>
    </w:pPr>
    <w:rPr>
      <w:rFonts w:asciiTheme="minorHAnsi" w:hAnsiTheme="minorHAnsi" w:eastAsiaTheme="maj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spacing w:after="160"/>
      <w:jc w:val="left"/>
    </w:pPr>
    <w:rPr>
      <w:rFonts w:asciiTheme="minorHAnsi" w:hAnsiTheme="minorHAnsi" w:eastAsiaTheme="minorEastAsia" w:cstheme="minorBidi"/>
      <w:sz w:val="18"/>
      <w:szCs w:val="18"/>
      <w14:ligatures w14:val="standardContextual"/>
    </w:rPr>
  </w:style>
  <w:style w:type="paragraph" w:styleId="12">
    <w:name w:val="header"/>
    <w:basedOn w:val="1"/>
    <w:link w:val="37"/>
    <w:unhideWhenUsed/>
    <w:qFormat/>
    <w:uiPriority w:val="99"/>
    <w:pPr>
      <w:tabs>
        <w:tab w:val="center" w:pos="4153"/>
        <w:tab w:val="right" w:pos="8306"/>
      </w:tabs>
      <w:snapToGrid w:val="0"/>
      <w:spacing w:after="160"/>
      <w:jc w:val="center"/>
    </w:pPr>
    <w:rPr>
      <w:rFonts w:asciiTheme="minorHAnsi" w:hAnsiTheme="minorHAnsi" w:eastAsiaTheme="minorEastAsia" w:cstheme="minorBidi"/>
      <w:sz w:val="18"/>
      <w:szCs w:val="18"/>
      <w14:ligatures w14:val="standardContextual"/>
    </w:rPr>
  </w:style>
  <w:style w:type="paragraph" w:styleId="13">
    <w:name w:val="Subtitle"/>
    <w:basedOn w:val="1"/>
    <w:next w:val="1"/>
    <w:link w:val="29"/>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customStyle="1" w:styleId="19">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2">
    <w:name w:val="标题 4 字符"/>
    <w:basedOn w:val="17"/>
    <w:link w:val="5"/>
    <w:semiHidden/>
    <w:qFormat/>
    <w:uiPriority w:val="9"/>
    <w:rPr>
      <w:rFonts w:cstheme="majorBidi"/>
      <w:color w:val="2F5597" w:themeColor="accent1" w:themeShade="BF"/>
      <w:sz w:val="28"/>
      <w:szCs w:val="28"/>
    </w:rPr>
  </w:style>
  <w:style w:type="character" w:customStyle="1" w:styleId="23">
    <w:name w:val="标题 5 字符"/>
    <w:basedOn w:val="17"/>
    <w:link w:val="6"/>
    <w:semiHidden/>
    <w:qFormat/>
    <w:uiPriority w:val="9"/>
    <w:rPr>
      <w:rFonts w:cstheme="majorBidi"/>
      <w:color w:val="2F5597" w:themeColor="accent1" w:themeShade="BF"/>
      <w:sz w:val="24"/>
    </w:rPr>
  </w:style>
  <w:style w:type="character" w:customStyle="1" w:styleId="24">
    <w:name w:val="标题 6 字符"/>
    <w:basedOn w:val="17"/>
    <w:link w:val="7"/>
    <w:semiHidden/>
    <w:qFormat/>
    <w:uiPriority w:val="9"/>
    <w:rPr>
      <w:rFonts w:cstheme="majorBidi"/>
      <w:b/>
      <w:bCs/>
      <w:color w:val="2F5597"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line="278" w:lineRule="auto"/>
      <w:jc w:val="center"/>
    </w:pPr>
    <w:rPr>
      <w:rFonts w:asciiTheme="minorHAnsi" w:hAnsiTheme="minorHAnsi" w:eastAsiaTheme="minorEastAsia" w:cstheme="minorBidi"/>
      <w:i/>
      <w:iCs/>
      <w:color w:val="404040" w:themeColor="text1" w:themeTint="BF"/>
      <w:sz w:val="22"/>
      <w:szCs w:val="24"/>
      <w14:textFill>
        <w14:solidFill>
          <w14:schemeClr w14:val="tx1">
            <w14:lumMod w14:val="75000"/>
            <w14:lumOff w14:val="25000"/>
          </w14:schemeClr>
        </w14:solidFill>
      </w14:textFill>
      <w14:ligatures w14:val="standardContextua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spacing w:after="160" w:line="278" w:lineRule="auto"/>
      <w:ind w:left="720"/>
      <w:contextualSpacing/>
      <w:jc w:val="left"/>
    </w:pPr>
    <w:rPr>
      <w:rFonts w:asciiTheme="minorHAnsi" w:hAnsiTheme="minorHAnsi" w:eastAsiaTheme="minorEastAsia" w:cstheme="minorBidi"/>
      <w:sz w:val="22"/>
      <w:szCs w:val="24"/>
      <w14:ligatures w14:val="standardContextual"/>
    </w:rPr>
  </w:style>
  <w:style w:type="character" w:customStyle="1" w:styleId="33">
    <w:name w:val="Intense Emphasis"/>
    <w:basedOn w:val="17"/>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rFonts w:asciiTheme="minorHAnsi" w:hAnsiTheme="minorHAnsi" w:eastAsiaTheme="minorEastAsia" w:cstheme="minorBidi"/>
      <w:i/>
      <w:iCs/>
      <w:color w:val="2F5597" w:themeColor="accent1" w:themeShade="BF"/>
      <w:sz w:val="22"/>
      <w:szCs w:val="24"/>
      <w14:ligatures w14:val="standardContextual"/>
    </w:rPr>
  </w:style>
  <w:style w:type="character" w:customStyle="1" w:styleId="35">
    <w:name w:val="明显引用 字符"/>
    <w:basedOn w:val="17"/>
    <w:link w:val="34"/>
    <w:qFormat/>
    <w:uiPriority w:val="30"/>
    <w:rPr>
      <w:i/>
      <w:iCs/>
      <w:color w:val="2F5597" w:themeColor="accent1" w:themeShade="BF"/>
    </w:rPr>
  </w:style>
  <w:style w:type="character" w:customStyle="1" w:styleId="36">
    <w:name w:val="Intense Reference"/>
    <w:basedOn w:val="17"/>
    <w:qFormat/>
    <w:uiPriority w:val="32"/>
    <w:rPr>
      <w:b/>
      <w:bCs/>
      <w:smallCaps/>
      <w:color w:val="2F5597" w:themeColor="accent1" w:themeShade="BF"/>
      <w:spacing w:val="5"/>
    </w:rPr>
  </w:style>
  <w:style w:type="character" w:customStyle="1" w:styleId="37">
    <w:name w:val="页眉 字符"/>
    <w:basedOn w:val="17"/>
    <w:link w:val="12"/>
    <w:qFormat/>
    <w:uiPriority w:val="99"/>
    <w:rPr>
      <w:sz w:val="18"/>
      <w:szCs w:val="18"/>
    </w:rPr>
  </w:style>
  <w:style w:type="character" w:customStyle="1" w:styleId="38">
    <w:name w:val="页脚 字符"/>
    <w:basedOn w:val="17"/>
    <w:link w:val="11"/>
    <w:qFormat/>
    <w:uiPriority w:val="99"/>
    <w:rPr>
      <w:sz w:val="18"/>
      <w:szCs w:val="18"/>
    </w:rPr>
  </w:style>
  <w:style w:type="paragraph" w:customStyle="1" w:styleId="39">
    <w:name w:val="Table Text"/>
    <w:basedOn w:val="1"/>
    <w:semiHidden/>
    <w:qFormat/>
    <w:uiPriority w:val="0"/>
    <w:rPr>
      <w:rFonts w:ascii="宋体" w:hAnsi="宋体"/>
      <w:sz w:val="28"/>
      <w:szCs w:val="28"/>
      <w:lang w:eastAsia="en-US"/>
    </w:rPr>
  </w:style>
  <w:style w:type="table" w:customStyle="1" w:styleId="40">
    <w:name w:val="Table Normal"/>
    <w:semiHidden/>
    <w:unhideWhenUsed/>
    <w:qFormat/>
    <w:uiPriority w:val="0"/>
    <w:pPr>
      <w:spacing w:after="0" w:line="240" w:lineRule="auto"/>
    </w:pPr>
    <w:rPr>
      <w:kern w:val="0"/>
      <w:sz w:val="20"/>
      <w:szCs w:val="20"/>
      <w14:ligatures w14:val="none"/>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9bf53d1e-76b1-47ad-ad8e-69e8e9b8f5e8</errorID>
      <errorWord>﹝2026﹞</errorWord>
      <group>L1_Punc</group>
      <groupName>标点问题</groupName>
      <ability>L2_Punc_CN</ability>
      <abilityName>标点符号检查</abilityName>
      <candidateList>
        <item>〔2026〕</item>
      </candidateList>
      <explain/>
      <paraID>3EF9AE65</paraID>
      <start>4</start>
      <end>10</end>
      <status>modified</status>
      <modifiedWord>〔2026〕</modifiedWord>
      <trackRevisions>false</trackRevisions>
    </reviewItem>
    <reviewItem>
      <errorID>98d9e1a7-f3e9-43c8-9a7a-bc62e8da9d98</errorID>
      <errorWord>以及</errorWord>
      <group>L1_Word</group>
      <groupName>字词问题</groupName>
      <ability>L2_Typo</ability>
      <abilityName>字词错误</abilityName>
      <candidateList>
        <item>且</item>
      </candidateList>
      <explain/>
      <paraID>44CFAB49</paraID>
      <start>29</start>
      <end>31</end>
      <status>ignored</status>
      <modifiedWord/>
      <trackRevisions>false</trackRevisions>
    </reviewItem>
    <reviewItem>
      <errorID>84c08fa2-2d50-4167-b1ac-6f2897caee41</errorID>
      <errorWord>实际问题能力</errorWord>
      <group>L1_Word</group>
      <groupName>字词问题</groupName>
      <ability>L2_Typo</ability>
      <abilityName>字词错误</abilityName>
      <candidateList>
        <item>实际问题的能力</item>
      </candidateList>
      <explain/>
      <paraID>44CFAB49</paraID>
      <start>37</start>
      <end>43</end>
      <status>ignored</status>
      <modifiedWord/>
      <trackRevisions>false</trackRevisions>
    </reviewItem>
    <reviewItem>
      <errorID>f8593098-32ea-4380-aef7-e73d817f41f5</errorID>
      <errorWord>使学员</errorWord>
      <group>L1_Word</group>
      <groupName>字词问题</groupName>
      <ability>L2_Typo</ability>
      <abilityName>字词错误</abilityName>
      <candidateList>
        <item>学员</item>
      </candidateList>
      <explain/>
      <paraID>44CFAB49</paraID>
      <start>71</start>
      <end>74</end>
      <status>ignored</status>
      <modifiedWord/>
      <trackRevisions>false</trackRevisions>
    </reviewItem>
    <reviewItem>
      <errorID>54a301d9-875c-4e3d-9da1-ffe395f1d9a1</errorID>
      <errorWord>学</errorWord>
      <group>L1_Word</group>
      <groupName>字词问题</groupName>
      <ability>L2_Typo</ability>
      <abilityName>字词错误</abilityName>
      <candidateList>
        <item>参加</item>
      </candidateList>
      <explain/>
      <paraID>7D9A9DAD</paraID>
      <start>50</start>
      <end>52</end>
      <status>modified</status>
      <modifiedWord>参加</modifiedWord>
      <trackRevisions>false</trackRevisions>
    </reviewItem>
    <reviewItem>
      <errorID>7e123cae-9b60-4a3a-bb6e-b468cb80a8d7</errorID>
      <errorWord>，</errorWord>
      <group>L1_Grammar</group>
      <groupName>语法问题</groupName>
      <ability>L2_Grammar</ability>
      <abilityName>语法错误</abilityName>
      <candidateList>
        <item>学习，</item>
      </candidateList>
      <explain/>
      <paraID>7D9A9DAD</paraID>
      <start>57</start>
      <end>60</end>
      <status>modified</status>
      <modifiedWord>学习，</modifiedWord>
      <trackRevisions>false</trackRevisions>
    </reviewItem>
    <reviewItem>
      <errorID>0b8a86d0-18fd-4228-b9f5-5dcb1091c182</errorID>
      <errorWord> </errorWord>
      <group>L1_Punc</group>
      <groupName>标点问题</groupName>
      <ability>L2_Punc_CN</ability>
      <abilityName>标点符号检查</abilityName>
      <candidateList>
        <item/>
      </candidateList>
      <explain>此处空格冗余，建议删除。</explain>
      <paraID>620CA90A</paraID>
      <start>8</start>
      <end>9</end>
      <status>ignored</status>
      <modifiedWord/>
      <trackRevisions>false</trackRevisions>
    </reviewItem>
    <reviewItem>
      <errorID>c5d55ed4-ff2c-4ece-a287-5bbcbe951b50</errorID>
      <errorWord> </errorWord>
      <group>L1_Punc</group>
      <groupName>标点问题</groupName>
      <ability>L2_Punc_CN</ability>
      <abilityName>标点符号检查</abilityName>
      <candidateList>
        <item/>
      </candidateList>
      <explain>此处空格冗余，建议删除。</explain>
      <paraID>620CA90A</paraID>
      <start>12</start>
      <end>13</end>
      <status>ignored</status>
      <modifiedWord/>
      <trackRevisions>false</trackRevisions>
    </reviewItem>
    <reviewItem>
      <errorID>507da5b8-cd35-4aba-838a-900480a21bc2</errorID>
      <errorWord> </errorWord>
      <group>L1_Grammar</group>
      <groupName>语法问题</groupName>
      <ability>L2_Grammar</ability>
      <abilityName>语法错误</abilityName>
      <candidateList>
        <item>东华大学</item>
      </candidateList>
      <explain/>
      <paraID>55CF3222</paraID>
      <start>12</start>
      <end>13</end>
      <status>ignored</status>
      <modifiedWord/>
      <trackRevisions>false</trackRevisions>
    </reviewItem>
    <reviewItem>
      <errorID>8cac9f67-7650-4770-9496-ca6f53ce74cd</errorID>
      <errorWord> </errorWord>
      <group>L1_Punc</group>
      <groupName>标点问题</groupName>
      <ability>L2_Punc_CN</ability>
      <abilityName>标点符号检查</abilityName>
      <candidateList>
        <item/>
      </candidateList>
      <explain>此处空格冗余，建议删除。</explain>
      <paraID>55CF3222</paraID>
      <start>16</start>
      <end>17</end>
      <status>ignored</status>
      <modifiedWord/>
      <trackRevisions>false</trackRevisions>
    </reviewItem>
    <reviewItem>
      <errorID>dfc8ff0a-8b07-472e-a1e0-2b57e7cb1c80</errorID>
      <errorWord>同等学历</errorWord>
      <group>L1_Word</group>
      <groupName>字词问题</groupName>
      <ability>L2_Typo</ability>
      <abilityName>字词错误</abilityName>
      <candidateList>
        <item>同等学力</item>
      </candidateList>
      <explain/>
      <paraID>38E32231</paraID>
      <start>11</start>
      <end>15</end>
      <status>ignored</status>
      <modifiedWord/>
      <trackRevisions>false</trackRevisions>
    </reviewItem>
    <reviewItem>
      <errorID>e6f55d2f-d34e-4332-8899-b2c5a4085757</errorID>
      <errorWord>同等学历</errorWord>
      <group>L1_Word</group>
      <groupName>字词问题</groupName>
      <ability>L2_Typo</ability>
      <abilityName>字词错误</abilityName>
      <candidateList>
        <item>同等学力</item>
      </candidateList>
      <explain/>
      <paraID>717C6A56</paraID>
      <start>5</start>
      <end>9</end>
      <status>ignored</status>
      <modifiedWord/>
      <trackRevisions>false</trackRevisions>
    </reviewItem>
    <reviewItem>
      <errorID>bd82459d-8e79-4771-a22f-9b632b626b65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47FF6629</paraID>
      <start>1</start>
      <end>3</end>
      <status>modified</status>
      <modifiedWord>1.</modifiedWord>
      <trackRevisions>false</trackRevisions>
    </reviewItem>
    <reviewItem>
      <errorID>6e613c0b-876c-4d38-94ba-bfa6ed7745d5</errorID>
      <errorWord> </errorWord>
      <group>L1_Punc</group>
      <groupName>标点问题</groupName>
      <ability>L2_Punc_CN</ability>
      <abilityName>标点符号检查</abilityName>
      <candidateList>
        <item/>
      </candidateList>
      <explain>此处空格冗余，建议删除。</explain>
      <paraID>47FF6629</paraID>
      <start>8</start>
      <end>9</end>
      <status>unmodified</status>
      <modifiedWord/>
      <trackRevisions>false</trackRevisions>
    </reviewItem>
    <reviewItem>
      <errorID>ac8b42c5-2060-481f-ab7a-41c7a70ab8c7</errorID>
      <errorWord>使</errorWord>
      <group>L1_Word</group>
      <groupName>字词问题</groupName>
      <ability>L2_Typo</ability>
      <abilityName>字词错误</abilityName>
      <candidateList>
        <item>让</item>
      </candidateList>
      <explain/>
      <paraID>47FF6629</paraID>
      <start>17</start>
      <end>18</end>
      <status>ignored</status>
      <modifiedWord/>
      <trackRevisions>false</trackRevisions>
    </reviewItem>
    <reviewItem>
      <errorID>a3dbeb2e-8588-4843-8e76-5e0ae453ccfc</errorID>
      <errorWord>达到</errorWord>
      <group>L1_Word</group>
      <groupName>字词问题</groupName>
      <ability>L2_Typo</ability>
      <abilityName>字词错误</abilityName>
      <candidateList>
        <item>以达到</item>
      </candidateList>
      <explain/>
      <paraID>47FF6629</paraID>
      <start>42</start>
      <end>44</end>
      <status>ignored</status>
      <modifiedWord/>
      <trackRevisions>false</trackRevisions>
    </reviewItem>
    <reviewItem>
      <errorID>ee6b8559-7633-402f-8a04-2d99c69c2c25</errorID>
      <errorWord>。</errorWord>
      <group>L1_Grammar</group>
      <groupName>语法问题</groupName>
      <ability>L2_Grammar</ability>
      <abilityName>语法错误</abilityName>
      <candidateList>
        <item>的目的。</item>
      </candidateList>
      <explain/>
      <paraID>47FF6629</paraID>
      <start>48</start>
      <end>49</end>
      <status>ignored</status>
      <modifiedWord/>
      <trackRevisions>false</trackRevisions>
    </reviewItem>
    <reviewItem>
      <errorID>5e2035cd-0efb-4bac-b056-492356126534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FD1AF40</paraID>
      <start>0</start>
      <end>2</end>
      <status>modified</status>
      <modifiedWord>2.</modifiedWord>
      <trackRevisions>false</trackRevisions>
    </reviewItem>
    <reviewItem>
      <errorID>df1cce33-4d00-4d6c-8eb8-fa8ad6a72d72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47EE03ED</paraID>
      <start>0</start>
      <end>2</end>
      <status>modified</status>
      <modifiedWord>3.</modifiedWord>
      <trackRevisions>false</trackRevisions>
    </reviewItem>
    <reviewItem>
      <errorID>9e8743f7-20a1-43d4-86aa-011ebba31cea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18188E0D</paraID>
      <start>5</start>
      <end>7</end>
      <status>modified</status>
      <modifiedWord>1.</modifiedWord>
      <trackRevisions>false</trackRevisions>
    </reviewItem>
    <reviewItem>
      <errorID>36e22772-606c-40bf-b95f-323dc0f6948a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3BF3C7E7</paraID>
      <start>1</start>
      <end>3</end>
      <status>modified</status>
      <modifiedWord>2.</modifiedWord>
      <trackRevisions>false</trackRevisions>
    </reviewItem>
    <reviewItem>
      <errorID>cca7df73-1b67-420d-b0bb-cfe2da538621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7AAA56E3</paraID>
      <start>0</start>
      <end>2</end>
      <status>modified</status>
      <modifiedWord>1.</modifiedWord>
      <trackRevisions>false</trackRevisions>
    </reviewItem>
    <reviewItem>
      <errorID>9281015c-650e-4445-b67b-7a930f20538b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475E2F49</paraID>
      <start>0</start>
      <end>2</end>
      <status>modified</status>
      <modifiedWord>2.</modifiedWord>
      <trackRevisions>false</trackRevisions>
    </reviewItem>
    <reviewItem>
      <errorID>0c426c37-d8f7-49c8-9989-e3dff3573689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34B6885B</paraID>
      <start>0</start>
      <end>2</end>
      <status>modified</status>
      <modifiedWord>1.</modifiedWord>
      <trackRevisions>false</trackRevisions>
    </reviewItem>
    <reviewItem>
      <errorID>ed3911c9-f74b-4856-bf4f-3dee71a5160a</errorID>
      <errorWord>通过均</errorWord>
      <group>L1_Grammar</group>
      <groupName>语法问题</groupName>
      <ability>L2_Grammar</ability>
      <abilityName>语法错误</abilityName>
      <candidateList>
        <item>并通过，均</item>
      </candidateList>
      <explain/>
      <paraID>34B6885B</paraID>
      <start>12</start>
      <end>15</end>
      <status>ignored</status>
      <modifiedWord/>
      <trackRevisions>false</trackRevisions>
    </reviewItem>
    <reviewItem>
      <errorID>38cc3aab-b4dd-4127-b8a5-57608ecb513a</errorID>
      <errorWord>获得颁发</errorWord>
      <group>L1_Grammar</group>
      <groupName>语法问题</groupName>
      <ability>L2_Grammar</ability>
      <abilityName>语法错误</abilityName>
      <candidateList>
        <item>获得</item>
      </candidateList>
      <explain/>
      <paraID>34B6885B</paraID>
      <start>16</start>
      <end>18</end>
      <status>modified</status>
      <modifiedWord>获得</modifiedWord>
      <trackRevisions>false</trackRevisions>
    </reviewItem>
    <reviewItem>
      <errorID>8638db44-50c5-40eb-b530-4329583fcf07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66B85044</paraID>
      <start>0</start>
      <end>2</end>
      <status>modified</status>
      <modifiedWord>2.</modifiedWord>
      <trackRevisions>false</trackRevisions>
    </reviewItem>
    <reviewItem>
      <errorID>6e906456-c756-4109-941b-5a03f851c6a4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2AD8DE87</paraID>
      <start>0</start>
      <end>2</end>
      <status>modified</status>
      <modifiedWord>1.</modifiedWord>
      <trackRevisions>false</trackRevisions>
    </reviewItem>
    <reviewItem>
      <errorID>b88aa865-d9d6-425b-9388-e12a7b5626ca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42F8A640</paraID>
      <start>0</start>
      <end>2</end>
      <status>modified</status>
      <modifiedWord>2.</modifiedWord>
      <trackRevisions>false</trackRevisions>
    </reviewItem>
  </reviewItems>
  <config/>
</contractReview>
</file>

<file path=customXml/itemProps1.xml><?xml version="1.0" encoding="utf-8"?>
<ds:datastoreItem xmlns:ds="http://schemas.openxmlformats.org/officeDocument/2006/customXml" ds:itemID="{e88df682-afb6-4348-a8c1-af23c6d132dd}">
  <ds:schemaRefs/>
</ds:datastoreItem>
</file>

<file path=docProps/app.xml><?xml version="1.0" encoding="utf-8"?>
<Properties xmlns="http://schemas.openxmlformats.org/officeDocument/2006/extended-properties" xmlns:vt="http://schemas.openxmlformats.org/officeDocument/2006/docPropsVTypes">
  <Template>Normal</Template>
  <Pages>7</Pages>
  <Words>3357</Words>
  <Characters>3433</Characters>
  <Lines>4</Lines>
  <Paragraphs>4</Paragraphs>
  <TotalTime>24</TotalTime>
  <ScaleCrop>false</ScaleCrop>
  <LinksUpToDate>false</LinksUpToDate>
  <CharactersWithSpaces>3492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2025-08-26T05:40:00Z</dcterms:created>
  <dc:creator>yuanyuan he</dc:creator>
  <cp:lastModifiedBy>邹奕</cp:lastModifiedBy>
  <dcterms:modified xsi:type="dcterms:W3CDTF">2026-06-03T01:13:49Z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eyJoZGlkIjoiOWJkMzNhMWNjYjNmYmY1ZmY3NjI2ZDNkNDBlNzA5OWYiLCJ1c2VySWQiOiIxMTY1NzQwMDc2In0=</vt:lpwstr>
  </property>
  <property fmtid="{D5CDD505-2E9C-101B-9397-08002B2CF9AE}" pid="3" name="KSOProductBuildVer">
    <vt:lpwstr>2052-12.1.0.26375</vt:lpwstr>
  </property>
  <property fmtid="{D5CDD505-2E9C-101B-9397-08002B2CF9AE}" pid="4" name="ICV">
    <vt:lpwstr>3C5BC2D57BC741C4936F0817036FA1E0_13</vt:lpwstr>
  </property>
</Properties>
</file>